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A2E67" w14:textId="2BB16C72" w:rsidR="000A264E" w:rsidRPr="008A79CE" w:rsidRDefault="000A264E" w:rsidP="00E71592">
      <w:pPr>
        <w:spacing w:line="480" w:lineRule="auto"/>
        <w:jc w:val="both"/>
        <w:rPr>
          <w:rFonts w:ascii="Times New Roman" w:hAnsi="Times New Roman" w:cs="Times New Roman"/>
          <w:b/>
          <w:bCs/>
        </w:rPr>
      </w:pPr>
      <w:bookmarkStart w:id="0" w:name="_Hlk214557027"/>
      <w:r w:rsidRPr="008A79CE">
        <w:rPr>
          <w:rFonts w:ascii="Times New Roman" w:hAnsi="Times New Roman" w:cs="Times New Roman"/>
          <w:b/>
          <w:bCs/>
        </w:rPr>
        <w:t xml:space="preserve">Table </w:t>
      </w:r>
      <w:r w:rsidR="00521287">
        <w:rPr>
          <w:rFonts w:ascii="Times New Roman" w:hAnsi="Times New Roman" w:cs="Times New Roman"/>
          <w:b/>
          <w:bCs/>
        </w:rPr>
        <w:t>S</w:t>
      </w:r>
      <w:r w:rsidRPr="008A79CE">
        <w:rPr>
          <w:rFonts w:ascii="Times New Roman" w:hAnsi="Times New Roman" w:cs="Times New Roman"/>
          <w:b/>
          <w:bCs/>
        </w:rPr>
        <w:t xml:space="preserve">1:  </w:t>
      </w:r>
      <w:bookmarkStart w:id="1" w:name="_Hlk210208859"/>
      <w:r w:rsidRPr="008A79CE">
        <w:rPr>
          <w:rFonts w:ascii="Times New Roman" w:hAnsi="Times New Roman" w:cs="Times New Roman"/>
          <w:i/>
          <w:iCs/>
        </w:rPr>
        <w:t>Distribution of included papers and citation metrics by year of publication</w:t>
      </w:r>
      <w:bookmarkEnd w:id="1"/>
    </w:p>
    <w:bookmarkEnd w:id="0"/>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
        <w:gridCol w:w="1403"/>
        <w:gridCol w:w="1195"/>
        <w:gridCol w:w="1530"/>
        <w:gridCol w:w="1656"/>
        <w:gridCol w:w="1508"/>
        <w:gridCol w:w="1362"/>
      </w:tblGrid>
      <w:tr w:rsidR="000A264E" w:rsidRPr="008A79CE" w14:paraId="649183AF" w14:textId="77777777" w:rsidTr="000340AB">
        <w:trPr>
          <w:jc w:val="center"/>
        </w:trPr>
        <w:tc>
          <w:tcPr>
            <w:tcW w:w="0" w:type="auto"/>
            <w:tcBorders>
              <w:top w:val="single" w:sz="12" w:space="0" w:color="auto"/>
            </w:tcBorders>
          </w:tcPr>
          <w:p w14:paraId="2062CE68" w14:textId="77777777" w:rsidR="000A264E" w:rsidRPr="008A79CE" w:rsidRDefault="000A264E" w:rsidP="008225D3">
            <w:pPr>
              <w:spacing w:line="276" w:lineRule="auto"/>
              <w:jc w:val="center"/>
              <w:rPr>
                <w:rFonts w:ascii="Times New Roman" w:hAnsi="Times New Roman" w:cs="Times New Roman"/>
              </w:rPr>
            </w:pPr>
          </w:p>
        </w:tc>
        <w:tc>
          <w:tcPr>
            <w:tcW w:w="0" w:type="auto"/>
            <w:gridSpan w:val="2"/>
            <w:tcBorders>
              <w:top w:val="single" w:sz="12" w:space="0" w:color="auto"/>
            </w:tcBorders>
          </w:tcPr>
          <w:p w14:paraId="09952CF9"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Paper</w:t>
            </w:r>
          </w:p>
        </w:tc>
        <w:tc>
          <w:tcPr>
            <w:tcW w:w="0" w:type="auto"/>
            <w:gridSpan w:val="4"/>
            <w:tcBorders>
              <w:top w:val="single" w:sz="12" w:space="0" w:color="auto"/>
            </w:tcBorders>
          </w:tcPr>
          <w:p w14:paraId="3AEB00FB"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Citations</w:t>
            </w:r>
          </w:p>
        </w:tc>
      </w:tr>
      <w:tr w:rsidR="000A264E" w:rsidRPr="008A79CE" w14:paraId="3995F840" w14:textId="77777777" w:rsidTr="000340AB">
        <w:trPr>
          <w:jc w:val="center"/>
        </w:trPr>
        <w:tc>
          <w:tcPr>
            <w:tcW w:w="0" w:type="auto"/>
            <w:tcBorders>
              <w:bottom w:val="single" w:sz="12" w:space="0" w:color="auto"/>
            </w:tcBorders>
            <w:hideMark/>
          </w:tcPr>
          <w:p w14:paraId="3D75BCFF"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Year</w:t>
            </w:r>
          </w:p>
        </w:tc>
        <w:tc>
          <w:tcPr>
            <w:tcW w:w="0" w:type="auto"/>
            <w:tcBorders>
              <w:bottom w:val="single" w:sz="12" w:space="0" w:color="auto"/>
            </w:tcBorders>
            <w:hideMark/>
          </w:tcPr>
          <w:p w14:paraId="68E0561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No. of Papers</w:t>
            </w:r>
          </w:p>
        </w:tc>
        <w:tc>
          <w:tcPr>
            <w:tcW w:w="0" w:type="auto"/>
            <w:tcBorders>
              <w:bottom w:val="single" w:sz="12" w:space="0" w:color="auto"/>
            </w:tcBorders>
            <w:hideMark/>
          </w:tcPr>
          <w:p w14:paraId="015430FD"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 of Total</w:t>
            </w:r>
          </w:p>
        </w:tc>
        <w:tc>
          <w:tcPr>
            <w:tcW w:w="0" w:type="auto"/>
            <w:tcBorders>
              <w:bottom w:val="single" w:sz="12" w:space="0" w:color="auto"/>
            </w:tcBorders>
            <w:hideMark/>
          </w:tcPr>
          <w:p w14:paraId="15E811F6"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Total Citations</w:t>
            </w:r>
          </w:p>
        </w:tc>
        <w:tc>
          <w:tcPr>
            <w:tcW w:w="0" w:type="auto"/>
            <w:tcBorders>
              <w:bottom w:val="single" w:sz="12" w:space="0" w:color="auto"/>
            </w:tcBorders>
            <w:hideMark/>
          </w:tcPr>
          <w:p w14:paraId="0305B8C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Avg. (±SD)</w:t>
            </w:r>
          </w:p>
        </w:tc>
        <w:tc>
          <w:tcPr>
            <w:tcW w:w="0" w:type="auto"/>
            <w:tcBorders>
              <w:bottom w:val="single" w:sz="12" w:space="0" w:color="auto"/>
            </w:tcBorders>
            <w:hideMark/>
          </w:tcPr>
          <w:p w14:paraId="0D8D6D7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Median (IQR)</w:t>
            </w:r>
          </w:p>
        </w:tc>
        <w:tc>
          <w:tcPr>
            <w:tcW w:w="0" w:type="auto"/>
            <w:tcBorders>
              <w:bottom w:val="single" w:sz="12" w:space="0" w:color="auto"/>
            </w:tcBorders>
            <w:hideMark/>
          </w:tcPr>
          <w:p w14:paraId="05AC2F0F"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 Zero Cites</w:t>
            </w:r>
          </w:p>
        </w:tc>
      </w:tr>
      <w:tr w:rsidR="000A264E" w:rsidRPr="008A79CE" w14:paraId="4F4BAE2F" w14:textId="77777777" w:rsidTr="000340AB">
        <w:trPr>
          <w:jc w:val="center"/>
        </w:trPr>
        <w:tc>
          <w:tcPr>
            <w:tcW w:w="0" w:type="auto"/>
            <w:tcBorders>
              <w:top w:val="single" w:sz="12" w:space="0" w:color="auto"/>
            </w:tcBorders>
            <w:hideMark/>
          </w:tcPr>
          <w:p w14:paraId="49618E5F"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2020</w:t>
            </w:r>
          </w:p>
        </w:tc>
        <w:tc>
          <w:tcPr>
            <w:tcW w:w="0" w:type="auto"/>
            <w:tcBorders>
              <w:top w:val="single" w:sz="12" w:space="0" w:color="auto"/>
            </w:tcBorders>
            <w:hideMark/>
          </w:tcPr>
          <w:p w14:paraId="3E9FAFDF"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20</w:t>
            </w:r>
          </w:p>
        </w:tc>
        <w:tc>
          <w:tcPr>
            <w:tcW w:w="0" w:type="auto"/>
            <w:tcBorders>
              <w:top w:val="single" w:sz="12" w:space="0" w:color="auto"/>
            </w:tcBorders>
            <w:hideMark/>
          </w:tcPr>
          <w:p w14:paraId="0F2AE44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41.67%</w:t>
            </w:r>
          </w:p>
        </w:tc>
        <w:tc>
          <w:tcPr>
            <w:tcW w:w="0" w:type="auto"/>
            <w:tcBorders>
              <w:top w:val="single" w:sz="12" w:space="0" w:color="auto"/>
            </w:tcBorders>
            <w:hideMark/>
          </w:tcPr>
          <w:p w14:paraId="7B84C265"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12,608</w:t>
            </w:r>
          </w:p>
        </w:tc>
        <w:tc>
          <w:tcPr>
            <w:tcW w:w="0" w:type="auto"/>
            <w:tcBorders>
              <w:top w:val="single" w:sz="12" w:space="0" w:color="auto"/>
            </w:tcBorders>
            <w:hideMark/>
          </w:tcPr>
          <w:p w14:paraId="2F22A2E4"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788.0 (±1273.8)</w:t>
            </w:r>
          </w:p>
        </w:tc>
        <w:tc>
          <w:tcPr>
            <w:tcW w:w="0" w:type="auto"/>
            <w:tcBorders>
              <w:top w:val="single" w:sz="12" w:space="0" w:color="auto"/>
            </w:tcBorders>
            <w:hideMark/>
          </w:tcPr>
          <w:p w14:paraId="5ECFC497"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80.5 (0–873.5)</w:t>
            </w:r>
          </w:p>
        </w:tc>
        <w:tc>
          <w:tcPr>
            <w:tcW w:w="0" w:type="auto"/>
            <w:tcBorders>
              <w:top w:val="single" w:sz="12" w:space="0" w:color="auto"/>
            </w:tcBorders>
            <w:hideMark/>
          </w:tcPr>
          <w:p w14:paraId="63B5C4CC"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10.0%</w:t>
            </w:r>
          </w:p>
        </w:tc>
      </w:tr>
      <w:tr w:rsidR="000A264E" w:rsidRPr="008A79CE" w14:paraId="38FFD1C8" w14:textId="77777777" w:rsidTr="000340AB">
        <w:trPr>
          <w:jc w:val="center"/>
        </w:trPr>
        <w:tc>
          <w:tcPr>
            <w:tcW w:w="0" w:type="auto"/>
            <w:hideMark/>
          </w:tcPr>
          <w:p w14:paraId="2566266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2021</w:t>
            </w:r>
          </w:p>
        </w:tc>
        <w:tc>
          <w:tcPr>
            <w:tcW w:w="0" w:type="auto"/>
            <w:hideMark/>
          </w:tcPr>
          <w:p w14:paraId="5ADB20E4"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15</w:t>
            </w:r>
          </w:p>
        </w:tc>
        <w:tc>
          <w:tcPr>
            <w:tcW w:w="0" w:type="auto"/>
            <w:hideMark/>
          </w:tcPr>
          <w:p w14:paraId="2389B9E0"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31.25%</w:t>
            </w:r>
          </w:p>
        </w:tc>
        <w:tc>
          <w:tcPr>
            <w:tcW w:w="0" w:type="auto"/>
            <w:hideMark/>
          </w:tcPr>
          <w:p w14:paraId="75AC813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476</w:t>
            </w:r>
          </w:p>
        </w:tc>
        <w:tc>
          <w:tcPr>
            <w:tcW w:w="0" w:type="auto"/>
            <w:hideMark/>
          </w:tcPr>
          <w:p w14:paraId="75E5253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43.3 (±51.2)</w:t>
            </w:r>
          </w:p>
        </w:tc>
        <w:tc>
          <w:tcPr>
            <w:tcW w:w="0" w:type="auto"/>
            <w:hideMark/>
          </w:tcPr>
          <w:p w14:paraId="72D0B45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14 (2–53)</w:t>
            </w:r>
          </w:p>
        </w:tc>
        <w:tc>
          <w:tcPr>
            <w:tcW w:w="0" w:type="auto"/>
            <w:hideMark/>
          </w:tcPr>
          <w:p w14:paraId="4BA2A0C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w:t>
            </w:r>
          </w:p>
        </w:tc>
      </w:tr>
      <w:tr w:rsidR="000A264E" w:rsidRPr="008A79CE" w14:paraId="2B866BD4" w14:textId="77777777" w:rsidTr="000340AB">
        <w:trPr>
          <w:jc w:val="center"/>
        </w:trPr>
        <w:tc>
          <w:tcPr>
            <w:tcW w:w="0" w:type="auto"/>
            <w:hideMark/>
          </w:tcPr>
          <w:p w14:paraId="491FC26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2022</w:t>
            </w:r>
          </w:p>
        </w:tc>
        <w:tc>
          <w:tcPr>
            <w:tcW w:w="0" w:type="auto"/>
            <w:hideMark/>
          </w:tcPr>
          <w:p w14:paraId="627257C3"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6</w:t>
            </w:r>
          </w:p>
        </w:tc>
        <w:tc>
          <w:tcPr>
            <w:tcW w:w="0" w:type="auto"/>
            <w:hideMark/>
          </w:tcPr>
          <w:p w14:paraId="579DCC53"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12.50%</w:t>
            </w:r>
          </w:p>
        </w:tc>
        <w:tc>
          <w:tcPr>
            <w:tcW w:w="0" w:type="auto"/>
            <w:hideMark/>
          </w:tcPr>
          <w:p w14:paraId="5BB468FD"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199</w:t>
            </w:r>
          </w:p>
        </w:tc>
        <w:tc>
          <w:tcPr>
            <w:tcW w:w="0" w:type="auto"/>
            <w:hideMark/>
          </w:tcPr>
          <w:p w14:paraId="332C8DC6"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33.2 (±56.1)</w:t>
            </w:r>
          </w:p>
        </w:tc>
        <w:tc>
          <w:tcPr>
            <w:tcW w:w="0" w:type="auto"/>
            <w:hideMark/>
          </w:tcPr>
          <w:p w14:paraId="4F47B2E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11 (0–25.5)</w:t>
            </w:r>
          </w:p>
        </w:tc>
        <w:tc>
          <w:tcPr>
            <w:tcW w:w="0" w:type="auto"/>
            <w:hideMark/>
          </w:tcPr>
          <w:p w14:paraId="0CA831AD"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16.7%</w:t>
            </w:r>
          </w:p>
        </w:tc>
      </w:tr>
      <w:tr w:rsidR="000A264E" w:rsidRPr="008A79CE" w14:paraId="64B8E9F1" w14:textId="77777777" w:rsidTr="000340AB">
        <w:trPr>
          <w:jc w:val="center"/>
        </w:trPr>
        <w:tc>
          <w:tcPr>
            <w:tcW w:w="0" w:type="auto"/>
            <w:hideMark/>
          </w:tcPr>
          <w:p w14:paraId="5EE35D69"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2023</w:t>
            </w:r>
          </w:p>
        </w:tc>
        <w:tc>
          <w:tcPr>
            <w:tcW w:w="0" w:type="auto"/>
            <w:hideMark/>
          </w:tcPr>
          <w:p w14:paraId="5383643A"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5</w:t>
            </w:r>
          </w:p>
        </w:tc>
        <w:tc>
          <w:tcPr>
            <w:tcW w:w="0" w:type="auto"/>
            <w:hideMark/>
          </w:tcPr>
          <w:p w14:paraId="72A8F22A"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10.42%</w:t>
            </w:r>
          </w:p>
        </w:tc>
        <w:tc>
          <w:tcPr>
            <w:tcW w:w="0" w:type="auto"/>
            <w:hideMark/>
          </w:tcPr>
          <w:p w14:paraId="565F2114"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41</w:t>
            </w:r>
          </w:p>
        </w:tc>
        <w:tc>
          <w:tcPr>
            <w:tcW w:w="0" w:type="auto"/>
            <w:hideMark/>
          </w:tcPr>
          <w:p w14:paraId="1A84E4C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10.3 (±19.2)</w:t>
            </w:r>
          </w:p>
        </w:tc>
        <w:tc>
          <w:tcPr>
            <w:tcW w:w="0" w:type="auto"/>
            <w:hideMark/>
          </w:tcPr>
          <w:p w14:paraId="774A022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 (0–11.25)</w:t>
            </w:r>
          </w:p>
        </w:tc>
        <w:tc>
          <w:tcPr>
            <w:tcW w:w="0" w:type="auto"/>
            <w:hideMark/>
          </w:tcPr>
          <w:p w14:paraId="6D40A9A4"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40.0%</w:t>
            </w:r>
          </w:p>
        </w:tc>
      </w:tr>
      <w:tr w:rsidR="000A264E" w:rsidRPr="008A79CE" w14:paraId="0105EB2A" w14:textId="77777777" w:rsidTr="000340AB">
        <w:trPr>
          <w:jc w:val="center"/>
        </w:trPr>
        <w:tc>
          <w:tcPr>
            <w:tcW w:w="0" w:type="auto"/>
            <w:hideMark/>
          </w:tcPr>
          <w:p w14:paraId="24F3BC03"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2024</w:t>
            </w:r>
          </w:p>
        </w:tc>
        <w:tc>
          <w:tcPr>
            <w:tcW w:w="0" w:type="auto"/>
            <w:hideMark/>
          </w:tcPr>
          <w:p w14:paraId="3580836D"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w:t>
            </w:r>
          </w:p>
        </w:tc>
        <w:tc>
          <w:tcPr>
            <w:tcW w:w="0" w:type="auto"/>
            <w:hideMark/>
          </w:tcPr>
          <w:p w14:paraId="1E3EB940"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4.17%</w:t>
            </w:r>
          </w:p>
        </w:tc>
        <w:tc>
          <w:tcPr>
            <w:tcW w:w="0" w:type="auto"/>
            <w:hideMark/>
          </w:tcPr>
          <w:p w14:paraId="67559F1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w:t>
            </w:r>
          </w:p>
        </w:tc>
        <w:tc>
          <w:tcPr>
            <w:tcW w:w="0" w:type="auto"/>
            <w:hideMark/>
          </w:tcPr>
          <w:p w14:paraId="5AC63E0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1.0 (±0.0)</w:t>
            </w:r>
          </w:p>
        </w:tc>
        <w:tc>
          <w:tcPr>
            <w:tcW w:w="0" w:type="auto"/>
            <w:hideMark/>
          </w:tcPr>
          <w:p w14:paraId="0247781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 (1–1)</w:t>
            </w:r>
          </w:p>
        </w:tc>
        <w:tc>
          <w:tcPr>
            <w:tcW w:w="0" w:type="auto"/>
            <w:hideMark/>
          </w:tcPr>
          <w:p w14:paraId="0AD74F3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w:t>
            </w:r>
          </w:p>
        </w:tc>
      </w:tr>
      <w:tr w:rsidR="000A264E" w:rsidRPr="008A79CE" w14:paraId="2847AF1A" w14:textId="77777777" w:rsidTr="000340AB">
        <w:trPr>
          <w:jc w:val="center"/>
        </w:trPr>
        <w:tc>
          <w:tcPr>
            <w:tcW w:w="0" w:type="auto"/>
            <w:hideMark/>
          </w:tcPr>
          <w:p w14:paraId="5B1B64F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2025</w:t>
            </w:r>
          </w:p>
        </w:tc>
        <w:tc>
          <w:tcPr>
            <w:tcW w:w="0" w:type="auto"/>
            <w:hideMark/>
          </w:tcPr>
          <w:p w14:paraId="44FE3E7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w:t>
            </w:r>
          </w:p>
        </w:tc>
        <w:tc>
          <w:tcPr>
            <w:tcW w:w="0" w:type="auto"/>
            <w:hideMark/>
          </w:tcPr>
          <w:p w14:paraId="68AE4F1D"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2.08%</w:t>
            </w:r>
          </w:p>
        </w:tc>
        <w:tc>
          <w:tcPr>
            <w:tcW w:w="0" w:type="auto"/>
            <w:hideMark/>
          </w:tcPr>
          <w:p w14:paraId="021DF21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w:t>
            </w:r>
          </w:p>
        </w:tc>
        <w:tc>
          <w:tcPr>
            <w:tcW w:w="0" w:type="auto"/>
            <w:hideMark/>
          </w:tcPr>
          <w:p w14:paraId="51DE0F90"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 (0)</w:t>
            </w:r>
          </w:p>
        </w:tc>
        <w:tc>
          <w:tcPr>
            <w:tcW w:w="0" w:type="auto"/>
            <w:hideMark/>
          </w:tcPr>
          <w:p w14:paraId="4F07D6AA"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 (0–0)</w:t>
            </w:r>
          </w:p>
        </w:tc>
        <w:tc>
          <w:tcPr>
            <w:tcW w:w="0" w:type="auto"/>
            <w:hideMark/>
          </w:tcPr>
          <w:p w14:paraId="7AC30FF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w:t>
            </w:r>
          </w:p>
        </w:tc>
      </w:tr>
      <w:tr w:rsidR="000A264E" w:rsidRPr="008A79CE" w14:paraId="624031FF" w14:textId="77777777" w:rsidTr="000340AB">
        <w:trPr>
          <w:jc w:val="center"/>
        </w:trPr>
        <w:tc>
          <w:tcPr>
            <w:tcW w:w="0" w:type="auto"/>
            <w:tcBorders>
              <w:bottom w:val="single" w:sz="12" w:space="0" w:color="auto"/>
            </w:tcBorders>
            <w:hideMark/>
          </w:tcPr>
          <w:p w14:paraId="61153968"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Total</w:t>
            </w:r>
          </w:p>
        </w:tc>
        <w:tc>
          <w:tcPr>
            <w:tcW w:w="0" w:type="auto"/>
            <w:tcBorders>
              <w:bottom w:val="single" w:sz="12" w:space="0" w:color="auto"/>
            </w:tcBorders>
            <w:hideMark/>
          </w:tcPr>
          <w:p w14:paraId="0648372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48</w:t>
            </w:r>
          </w:p>
        </w:tc>
        <w:tc>
          <w:tcPr>
            <w:tcW w:w="0" w:type="auto"/>
            <w:tcBorders>
              <w:bottom w:val="single" w:sz="12" w:space="0" w:color="auto"/>
            </w:tcBorders>
            <w:hideMark/>
          </w:tcPr>
          <w:p w14:paraId="1B77B97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100.00%</w:t>
            </w:r>
          </w:p>
        </w:tc>
        <w:tc>
          <w:tcPr>
            <w:tcW w:w="0" w:type="auto"/>
            <w:tcBorders>
              <w:bottom w:val="single" w:sz="12" w:space="0" w:color="auto"/>
            </w:tcBorders>
            <w:hideMark/>
          </w:tcPr>
          <w:p w14:paraId="5B13DBB5"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13,326</w:t>
            </w:r>
          </w:p>
        </w:tc>
        <w:tc>
          <w:tcPr>
            <w:tcW w:w="0" w:type="auto"/>
            <w:tcBorders>
              <w:bottom w:val="single" w:sz="12" w:space="0" w:color="auto"/>
            </w:tcBorders>
            <w:hideMark/>
          </w:tcPr>
          <w:p w14:paraId="23E08CCA"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w:t>
            </w:r>
          </w:p>
        </w:tc>
        <w:tc>
          <w:tcPr>
            <w:tcW w:w="0" w:type="auto"/>
            <w:tcBorders>
              <w:bottom w:val="single" w:sz="12" w:space="0" w:color="auto"/>
            </w:tcBorders>
            <w:hideMark/>
          </w:tcPr>
          <w:p w14:paraId="7885F9A5"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w:t>
            </w:r>
          </w:p>
        </w:tc>
        <w:tc>
          <w:tcPr>
            <w:tcW w:w="0" w:type="auto"/>
            <w:tcBorders>
              <w:bottom w:val="single" w:sz="12" w:space="0" w:color="auto"/>
            </w:tcBorders>
            <w:hideMark/>
          </w:tcPr>
          <w:p w14:paraId="46C72E18"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12.5%</w:t>
            </w:r>
          </w:p>
        </w:tc>
      </w:tr>
    </w:tbl>
    <w:p w14:paraId="53CAF753" w14:textId="77777777" w:rsidR="000A264E" w:rsidRDefault="000A264E" w:rsidP="00E71592">
      <w:pPr>
        <w:spacing w:line="480" w:lineRule="auto"/>
        <w:jc w:val="both"/>
        <w:rPr>
          <w:rFonts w:ascii="Times New Roman" w:hAnsi="Times New Roman" w:cs="Times New Roman"/>
        </w:rPr>
      </w:pPr>
    </w:p>
    <w:p w14:paraId="550418AA" w14:textId="55EEF57B" w:rsidR="009B34A2" w:rsidRDefault="009B34A2" w:rsidP="008225D3">
      <w:pPr>
        <w:spacing w:line="276" w:lineRule="auto"/>
        <w:ind w:firstLine="720"/>
        <w:jc w:val="both"/>
        <w:rPr>
          <w:rFonts w:ascii="Times New Roman" w:hAnsi="Times New Roman" w:cs="Times New Roman"/>
        </w:rPr>
      </w:pPr>
      <w:r w:rsidRPr="00487F0E">
        <w:rPr>
          <w:rFonts w:ascii="Times New Roman" w:hAnsi="Times New Roman" w:cs="Times New Roman"/>
        </w:rPr>
        <w:t>The six sentiment lexicons employed vary considerably in size and domain focus, which can influence their coverage and interpretation of sentiment in the COVID-19 origin debate. The AFINN lexicon is relatively compact (~2,477 words)</w:t>
      </w:r>
      <w:r w:rsidRPr="008A79CE">
        <w:rPr>
          <w:rFonts w:ascii="Times New Roman" w:hAnsi="Times New Roman" w:cs="Times New Roman"/>
        </w:rPr>
        <w:t xml:space="preserve">, </w:t>
      </w:r>
      <w:r w:rsidRPr="00487F0E">
        <w:rPr>
          <w:rFonts w:ascii="Times New Roman" w:hAnsi="Times New Roman" w:cs="Times New Roman"/>
        </w:rPr>
        <w:t xml:space="preserve">Bing Liu lexicon (~6,800 words) distinguishes positive and negative sentiment terms but does not account for strength. The Loughran–McDonald lexicon (~14,000 words) was originally developed for financial texts and thus includes domain-specific categories such as uncertainty and litigiousness, which may not directly align with scientific discourse. The </w:t>
      </w:r>
      <w:proofErr w:type="spellStart"/>
      <w:r w:rsidRPr="00487F0E">
        <w:rPr>
          <w:rFonts w:ascii="Times New Roman" w:hAnsi="Times New Roman" w:cs="Times New Roman"/>
        </w:rPr>
        <w:t>Syuzhet</w:t>
      </w:r>
      <w:proofErr w:type="spellEnd"/>
      <w:r w:rsidRPr="00487F0E">
        <w:rPr>
          <w:rFonts w:ascii="Times New Roman" w:hAnsi="Times New Roman" w:cs="Times New Roman"/>
        </w:rPr>
        <w:t xml:space="preserve"> lexicon (~10,748 words) and NRC Emotion Lexicon (~14,182 words) offer broader coverage, mapping words to both polarity and multiple emotional categories, thereby capturing nuanced tones in textual data. Finally, VADER (~7,500 lexical features) integrates lexical entries with rules for punctuation, capitalization, degree modifiers, and even emoticons, making it more context-sensitive compared to other purely dictionary-based approaches.</w:t>
      </w:r>
    </w:p>
    <w:p w14:paraId="50018938" w14:textId="77777777" w:rsidR="00521287" w:rsidRPr="008A79CE" w:rsidRDefault="00521287" w:rsidP="008225D3">
      <w:pPr>
        <w:spacing w:line="276" w:lineRule="auto"/>
        <w:ind w:firstLine="720"/>
        <w:jc w:val="both"/>
        <w:rPr>
          <w:rFonts w:ascii="Times New Roman" w:hAnsi="Times New Roman" w:cs="Times New Roman"/>
        </w:rPr>
      </w:pPr>
    </w:p>
    <w:p w14:paraId="3A7CE975" w14:textId="509A2A5A" w:rsidR="000A264E" w:rsidRPr="008A79CE" w:rsidRDefault="000A264E" w:rsidP="008225D3">
      <w:pPr>
        <w:spacing w:line="276" w:lineRule="auto"/>
        <w:jc w:val="both"/>
        <w:rPr>
          <w:rFonts w:ascii="Times New Roman" w:hAnsi="Times New Roman" w:cs="Times New Roman"/>
        </w:rPr>
      </w:pPr>
      <w:r w:rsidRPr="008A79CE">
        <w:rPr>
          <w:rFonts w:ascii="Times New Roman" w:hAnsi="Times New Roman" w:cs="Times New Roman"/>
          <w:b/>
          <w:bCs/>
        </w:rPr>
        <w:t xml:space="preserve">Table </w:t>
      </w:r>
      <w:r w:rsidR="00521287">
        <w:rPr>
          <w:rFonts w:ascii="Times New Roman" w:hAnsi="Times New Roman" w:cs="Times New Roman"/>
          <w:b/>
          <w:bCs/>
        </w:rPr>
        <w:t>S</w:t>
      </w:r>
      <w:r w:rsidRPr="008A79CE">
        <w:rPr>
          <w:rFonts w:ascii="Times New Roman" w:hAnsi="Times New Roman" w:cs="Times New Roman"/>
          <w:b/>
          <w:bCs/>
        </w:rPr>
        <w:t>2:</w:t>
      </w:r>
      <w:r w:rsidRPr="008A79CE">
        <w:rPr>
          <w:rFonts w:ascii="Times New Roman" w:hAnsi="Times New Roman" w:cs="Times New Roman"/>
        </w:rPr>
        <w:t xml:space="preserve"> </w:t>
      </w:r>
      <w:r w:rsidRPr="008A79CE">
        <w:rPr>
          <w:rFonts w:ascii="Times New Roman" w:hAnsi="Times New Roman" w:cs="Times New Roman"/>
          <w:i/>
          <w:iCs/>
        </w:rPr>
        <w:t>Sentiment distribution (negative and positive) across lexicons for Lab Leak and Natural Origin hypotheses.</w:t>
      </w:r>
    </w:p>
    <w:tbl>
      <w:tblPr>
        <w:tblStyle w:val="TableGrid"/>
        <w:tblW w:w="102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6"/>
        <w:gridCol w:w="1339"/>
        <w:gridCol w:w="1223"/>
        <w:gridCol w:w="1658"/>
        <w:gridCol w:w="1642"/>
        <w:gridCol w:w="1501"/>
        <w:gridCol w:w="1658"/>
      </w:tblGrid>
      <w:tr w:rsidR="000A264E" w:rsidRPr="008A79CE" w14:paraId="16FB3597" w14:textId="77777777" w:rsidTr="000A7207">
        <w:trPr>
          <w:trHeight w:val="475"/>
          <w:jc w:val="center"/>
        </w:trPr>
        <w:tc>
          <w:tcPr>
            <w:tcW w:w="0" w:type="auto"/>
            <w:tcBorders>
              <w:top w:val="single" w:sz="12" w:space="0" w:color="auto"/>
            </w:tcBorders>
            <w:hideMark/>
          </w:tcPr>
          <w:p w14:paraId="65150E76" w14:textId="77777777" w:rsidR="000A264E" w:rsidRPr="008A79CE" w:rsidRDefault="000A264E" w:rsidP="008225D3">
            <w:pPr>
              <w:spacing w:after="160" w:line="276" w:lineRule="auto"/>
              <w:jc w:val="both"/>
              <w:rPr>
                <w:rFonts w:ascii="Times New Roman" w:hAnsi="Times New Roman" w:cs="Times New Roman"/>
                <w:b/>
                <w:bCs/>
              </w:rPr>
            </w:pPr>
            <w:r w:rsidRPr="008A79CE">
              <w:rPr>
                <w:rFonts w:ascii="Times New Roman" w:hAnsi="Times New Roman" w:cs="Times New Roman"/>
                <w:b/>
                <w:bCs/>
              </w:rPr>
              <w:t>Lexicon</w:t>
            </w:r>
          </w:p>
        </w:tc>
        <w:tc>
          <w:tcPr>
            <w:tcW w:w="0" w:type="auto"/>
            <w:gridSpan w:val="2"/>
            <w:tcBorders>
              <w:top w:val="single" w:sz="12" w:space="0" w:color="auto"/>
            </w:tcBorders>
            <w:hideMark/>
          </w:tcPr>
          <w:p w14:paraId="73D8A05A" w14:textId="77777777" w:rsidR="000A264E" w:rsidRPr="008A79CE" w:rsidRDefault="000A264E" w:rsidP="008225D3">
            <w:pPr>
              <w:spacing w:after="160" w:line="276" w:lineRule="auto"/>
              <w:jc w:val="both"/>
              <w:rPr>
                <w:rFonts w:ascii="Times New Roman" w:hAnsi="Times New Roman" w:cs="Times New Roman"/>
                <w:b/>
                <w:bCs/>
              </w:rPr>
            </w:pPr>
            <w:r w:rsidRPr="008A79CE">
              <w:rPr>
                <w:rFonts w:ascii="Times New Roman" w:hAnsi="Times New Roman" w:cs="Times New Roman"/>
                <w:b/>
                <w:bCs/>
              </w:rPr>
              <w:t>Lab Leak Hypothesis</w:t>
            </w:r>
          </w:p>
        </w:tc>
        <w:tc>
          <w:tcPr>
            <w:tcW w:w="0" w:type="auto"/>
            <w:tcBorders>
              <w:top w:val="single" w:sz="12" w:space="0" w:color="auto"/>
            </w:tcBorders>
          </w:tcPr>
          <w:p w14:paraId="588C9494" w14:textId="77777777" w:rsidR="000A264E" w:rsidRPr="008A79CE" w:rsidRDefault="000A264E" w:rsidP="008225D3">
            <w:pPr>
              <w:spacing w:line="276" w:lineRule="auto"/>
              <w:jc w:val="both"/>
              <w:rPr>
                <w:rFonts w:ascii="Times New Roman" w:hAnsi="Times New Roman" w:cs="Times New Roman"/>
                <w:b/>
                <w:bCs/>
              </w:rPr>
            </w:pPr>
          </w:p>
        </w:tc>
        <w:tc>
          <w:tcPr>
            <w:tcW w:w="0" w:type="auto"/>
            <w:gridSpan w:val="2"/>
            <w:tcBorders>
              <w:top w:val="single" w:sz="12" w:space="0" w:color="auto"/>
            </w:tcBorders>
            <w:hideMark/>
          </w:tcPr>
          <w:p w14:paraId="242CE395" w14:textId="77777777" w:rsidR="000A264E" w:rsidRPr="008A79CE" w:rsidRDefault="000A264E" w:rsidP="008225D3">
            <w:pPr>
              <w:spacing w:after="160" w:line="276" w:lineRule="auto"/>
              <w:jc w:val="both"/>
              <w:rPr>
                <w:rFonts w:ascii="Times New Roman" w:hAnsi="Times New Roman" w:cs="Times New Roman"/>
                <w:b/>
                <w:bCs/>
              </w:rPr>
            </w:pPr>
            <w:r w:rsidRPr="008A79CE">
              <w:rPr>
                <w:rFonts w:ascii="Times New Roman" w:hAnsi="Times New Roman" w:cs="Times New Roman"/>
                <w:b/>
                <w:bCs/>
              </w:rPr>
              <w:t>Natural Origin Hypothesis</w:t>
            </w:r>
          </w:p>
        </w:tc>
        <w:tc>
          <w:tcPr>
            <w:tcW w:w="0" w:type="auto"/>
            <w:tcBorders>
              <w:top w:val="single" w:sz="12" w:space="0" w:color="auto"/>
            </w:tcBorders>
          </w:tcPr>
          <w:p w14:paraId="6923A198" w14:textId="77777777" w:rsidR="000A264E" w:rsidRPr="008A79CE" w:rsidRDefault="000A264E" w:rsidP="008225D3">
            <w:pPr>
              <w:spacing w:line="276" w:lineRule="auto"/>
              <w:jc w:val="both"/>
              <w:rPr>
                <w:rFonts w:ascii="Times New Roman" w:hAnsi="Times New Roman" w:cs="Times New Roman"/>
                <w:b/>
                <w:bCs/>
              </w:rPr>
            </w:pPr>
          </w:p>
        </w:tc>
      </w:tr>
      <w:tr w:rsidR="000A264E" w:rsidRPr="008A79CE" w14:paraId="6CCA80A7" w14:textId="77777777" w:rsidTr="000A7207">
        <w:trPr>
          <w:trHeight w:val="475"/>
          <w:jc w:val="center"/>
        </w:trPr>
        <w:tc>
          <w:tcPr>
            <w:tcW w:w="0" w:type="auto"/>
            <w:tcBorders>
              <w:bottom w:val="single" w:sz="12" w:space="0" w:color="auto"/>
            </w:tcBorders>
            <w:hideMark/>
          </w:tcPr>
          <w:p w14:paraId="3E438E83" w14:textId="77777777" w:rsidR="000A264E" w:rsidRPr="008A79CE" w:rsidRDefault="000A264E" w:rsidP="008225D3">
            <w:pPr>
              <w:spacing w:after="160" w:line="276" w:lineRule="auto"/>
              <w:jc w:val="both"/>
              <w:rPr>
                <w:rFonts w:ascii="Times New Roman" w:hAnsi="Times New Roman" w:cs="Times New Roman"/>
              </w:rPr>
            </w:pPr>
          </w:p>
        </w:tc>
        <w:tc>
          <w:tcPr>
            <w:tcW w:w="0" w:type="auto"/>
            <w:tcBorders>
              <w:bottom w:val="single" w:sz="12" w:space="0" w:color="auto"/>
            </w:tcBorders>
            <w:hideMark/>
          </w:tcPr>
          <w:p w14:paraId="40BF1B5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Negative</w:t>
            </w:r>
          </w:p>
        </w:tc>
        <w:tc>
          <w:tcPr>
            <w:tcW w:w="0" w:type="auto"/>
            <w:tcBorders>
              <w:bottom w:val="single" w:sz="12" w:space="0" w:color="auto"/>
            </w:tcBorders>
            <w:hideMark/>
          </w:tcPr>
          <w:p w14:paraId="7E87E98F"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Positive</w:t>
            </w:r>
          </w:p>
        </w:tc>
        <w:tc>
          <w:tcPr>
            <w:tcW w:w="0" w:type="auto"/>
            <w:tcBorders>
              <w:bottom w:val="single" w:sz="12" w:space="0" w:color="auto"/>
            </w:tcBorders>
          </w:tcPr>
          <w:p w14:paraId="3F180BCF"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Polarity Ratio</w:t>
            </w:r>
          </w:p>
        </w:tc>
        <w:tc>
          <w:tcPr>
            <w:tcW w:w="0" w:type="auto"/>
            <w:tcBorders>
              <w:bottom w:val="single" w:sz="12" w:space="0" w:color="auto"/>
            </w:tcBorders>
            <w:hideMark/>
          </w:tcPr>
          <w:p w14:paraId="1889DD97"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Negative</w:t>
            </w:r>
          </w:p>
        </w:tc>
        <w:tc>
          <w:tcPr>
            <w:tcW w:w="0" w:type="auto"/>
            <w:tcBorders>
              <w:bottom w:val="single" w:sz="12" w:space="0" w:color="auto"/>
            </w:tcBorders>
            <w:hideMark/>
          </w:tcPr>
          <w:p w14:paraId="7C06B814"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Positive</w:t>
            </w:r>
          </w:p>
        </w:tc>
        <w:tc>
          <w:tcPr>
            <w:tcW w:w="0" w:type="auto"/>
            <w:tcBorders>
              <w:bottom w:val="single" w:sz="12" w:space="0" w:color="auto"/>
            </w:tcBorders>
          </w:tcPr>
          <w:p w14:paraId="28D0C962"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Polarity Ratio</w:t>
            </w:r>
          </w:p>
        </w:tc>
      </w:tr>
      <w:tr w:rsidR="000A264E" w:rsidRPr="008A79CE" w14:paraId="694B0700" w14:textId="77777777" w:rsidTr="000A7207">
        <w:trPr>
          <w:trHeight w:val="475"/>
          <w:jc w:val="center"/>
        </w:trPr>
        <w:tc>
          <w:tcPr>
            <w:tcW w:w="0" w:type="auto"/>
            <w:tcBorders>
              <w:top w:val="single" w:sz="12" w:space="0" w:color="auto"/>
            </w:tcBorders>
            <w:hideMark/>
          </w:tcPr>
          <w:p w14:paraId="2FB66E85"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lastRenderedPageBreak/>
              <w:t>AFINN</w:t>
            </w:r>
          </w:p>
        </w:tc>
        <w:tc>
          <w:tcPr>
            <w:tcW w:w="0" w:type="auto"/>
            <w:tcBorders>
              <w:top w:val="single" w:sz="12" w:space="0" w:color="auto"/>
            </w:tcBorders>
            <w:hideMark/>
          </w:tcPr>
          <w:p w14:paraId="04BAB4D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66</w:t>
            </w:r>
          </w:p>
        </w:tc>
        <w:tc>
          <w:tcPr>
            <w:tcW w:w="0" w:type="auto"/>
            <w:tcBorders>
              <w:top w:val="single" w:sz="12" w:space="0" w:color="auto"/>
            </w:tcBorders>
            <w:hideMark/>
          </w:tcPr>
          <w:p w14:paraId="09B9663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55</w:t>
            </w:r>
          </w:p>
        </w:tc>
        <w:tc>
          <w:tcPr>
            <w:tcW w:w="0" w:type="auto"/>
            <w:tcBorders>
              <w:top w:val="single" w:sz="12" w:space="0" w:color="auto"/>
            </w:tcBorders>
          </w:tcPr>
          <w:p w14:paraId="289417D7"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0.833</w:t>
            </w:r>
          </w:p>
        </w:tc>
        <w:tc>
          <w:tcPr>
            <w:tcW w:w="0" w:type="auto"/>
            <w:tcBorders>
              <w:top w:val="single" w:sz="12" w:space="0" w:color="auto"/>
            </w:tcBorders>
            <w:hideMark/>
          </w:tcPr>
          <w:p w14:paraId="5463593D"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102</w:t>
            </w:r>
          </w:p>
        </w:tc>
        <w:tc>
          <w:tcPr>
            <w:tcW w:w="0" w:type="auto"/>
            <w:tcBorders>
              <w:top w:val="single" w:sz="12" w:space="0" w:color="auto"/>
            </w:tcBorders>
            <w:hideMark/>
          </w:tcPr>
          <w:p w14:paraId="0263539A"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159</w:t>
            </w:r>
          </w:p>
        </w:tc>
        <w:tc>
          <w:tcPr>
            <w:tcW w:w="0" w:type="auto"/>
            <w:tcBorders>
              <w:top w:val="single" w:sz="12" w:space="0" w:color="auto"/>
            </w:tcBorders>
          </w:tcPr>
          <w:p w14:paraId="378AF7A3"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1.560</w:t>
            </w:r>
          </w:p>
        </w:tc>
      </w:tr>
      <w:tr w:rsidR="000A264E" w:rsidRPr="008A79CE" w14:paraId="3BF5A37F" w14:textId="77777777" w:rsidTr="000A7207">
        <w:trPr>
          <w:trHeight w:val="475"/>
          <w:jc w:val="center"/>
        </w:trPr>
        <w:tc>
          <w:tcPr>
            <w:tcW w:w="0" w:type="auto"/>
            <w:hideMark/>
          </w:tcPr>
          <w:p w14:paraId="7E587339"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Bing</w:t>
            </w:r>
          </w:p>
        </w:tc>
        <w:tc>
          <w:tcPr>
            <w:tcW w:w="0" w:type="auto"/>
            <w:hideMark/>
          </w:tcPr>
          <w:p w14:paraId="224944F3"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195</w:t>
            </w:r>
          </w:p>
        </w:tc>
        <w:tc>
          <w:tcPr>
            <w:tcW w:w="0" w:type="auto"/>
            <w:hideMark/>
          </w:tcPr>
          <w:p w14:paraId="6FE6DFD6"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75</w:t>
            </w:r>
          </w:p>
        </w:tc>
        <w:tc>
          <w:tcPr>
            <w:tcW w:w="0" w:type="auto"/>
          </w:tcPr>
          <w:p w14:paraId="0726127A"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0.385</w:t>
            </w:r>
          </w:p>
        </w:tc>
        <w:tc>
          <w:tcPr>
            <w:tcW w:w="0" w:type="auto"/>
            <w:hideMark/>
          </w:tcPr>
          <w:p w14:paraId="5A9F7E0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551</w:t>
            </w:r>
          </w:p>
        </w:tc>
        <w:tc>
          <w:tcPr>
            <w:tcW w:w="0" w:type="auto"/>
            <w:hideMark/>
          </w:tcPr>
          <w:p w14:paraId="33B1C23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165</w:t>
            </w:r>
          </w:p>
        </w:tc>
        <w:tc>
          <w:tcPr>
            <w:tcW w:w="0" w:type="auto"/>
          </w:tcPr>
          <w:p w14:paraId="4575316B"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0.299</w:t>
            </w:r>
          </w:p>
        </w:tc>
      </w:tr>
      <w:tr w:rsidR="000A264E" w:rsidRPr="008A79CE" w14:paraId="0CEF84D8" w14:textId="77777777" w:rsidTr="000A7207">
        <w:trPr>
          <w:trHeight w:val="475"/>
          <w:jc w:val="center"/>
        </w:trPr>
        <w:tc>
          <w:tcPr>
            <w:tcW w:w="0" w:type="auto"/>
            <w:hideMark/>
          </w:tcPr>
          <w:p w14:paraId="598E1FDE"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Loughran</w:t>
            </w:r>
          </w:p>
        </w:tc>
        <w:tc>
          <w:tcPr>
            <w:tcW w:w="0" w:type="auto"/>
            <w:hideMark/>
          </w:tcPr>
          <w:p w14:paraId="3C697498"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84</w:t>
            </w:r>
          </w:p>
        </w:tc>
        <w:tc>
          <w:tcPr>
            <w:tcW w:w="0" w:type="auto"/>
            <w:hideMark/>
          </w:tcPr>
          <w:p w14:paraId="34AAC91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32</w:t>
            </w:r>
          </w:p>
        </w:tc>
        <w:tc>
          <w:tcPr>
            <w:tcW w:w="0" w:type="auto"/>
          </w:tcPr>
          <w:p w14:paraId="16F1DB24"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0.381</w:t>
            </w:r>
          </w:p>
        </w:tc>
        <w:tc>
          <w:tcPr>
            <w:tcW w:w="0" w:type="auto"/>
            <w:hideMark/>
          </w:tcPr>
          <w:p w14:paraId="5770AEBF"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142</w:t>
            </w:r>
          </w:p>
        </w:tc>
        <w:tc>
          <w:tcPr>
            <w:tcW w:w="0" w:type="auto"/>
            <w:hideMark/>
          </w:tcPr>
          <w:p w14:paraId="18ECB7D8"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68</w:t>
            </w:r>
          </w:p>
        </w:tc>
        <w:tc>
          <w:tcPr>
            <w:tcW w:w="0" w:type="auto"/>
          </w:tcPr>
          <w:p w14:paraId="4C55A6DF"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0.479</w:t>
            </w:r>
          </w:p>
        </w:tc>
      </w:tr>
      <w:tr w:rsidR="000A264E" w:rsidRPr="008A79CE" w14:paraId="4AD29D39" w14:textId="77777777" w:rsidTr="000A7207">
        <w:trPr>
          <w:trHeight w:val="475"/>
          <w:jc w:val="center"/>
        </w:trPr>
        <w:tc>
          <w:tcPr>
            <w:tcW w:w="0" w:type="auto"/>
            <w:hideMark/>
          </w:tcPr>
          <w:p w14:paraId="5BC7FF0D" w14:textId="77777777" w:rsidR="000A264E" w:rsidRPr="008A79CE" w:rsidRDefault="000A264E" w:rsidP="008225D3">
            <w:pPr>
              <w:spacing w:after="160" w:line="276" w:lineRule="auto"/>
              <w:jc w:val="both"/>
              <w:rPr>
                <w:rFonts w:ascii="Times New Roman" w:hAnsi="Times New Roman" w:cs="Times New Roman"/>
              </w:rPr>
            </w:pPr>
            <w:proofErr w:type="spellStart"/>
            <w:r w:rsidRPr="008A79CE">
              <w:rPr>
                <w:rFonts w:ascii="Times New Roman" w:hAnsi="Times New Roman" w:cs="Times New Roman"/>
              </w:rPr>
              <w:t>Syuzhet</w:t>
            </w:r>
            <w:proofErr w:type="spellEnd"/>
          </w:p>
        </w:tc>
        <w:tc>
          <w:tcPr>
            <w:tcW w:w="0" w:type="auto"/>
            <w:hideMark/>
          </w:tcPr>
          <w:p w14:paraId="2290727C"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263</w:t>
            </w:r>
          </w:p>
        </w:tc>
        <w:tc>
          <w:tcPr>
            <w:tcW w:w="0" w:type="auto"/>
            <w:hideMark/>
          </w:tcPr>
          <w:p w14:paraId="1A84D3F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218</w:t>
            </w:r>
          </w:p>
        </w:tc>
        <w:tc>
          <w:tcPr>
            <w:tcW w:w="0" w:type="auto"/>
          </w:tcPr>
          <w:p w14:paraId="74C396AB"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0.829</w:t>
            </w:r>
          </w:p>
        </w:tc>
        <w:tc>
          <w:tcPr>
            <w:tcW w:w="0" w:type="auto"/>
            <w:hideMark/>
          </w:tcPr>
          <w:p w14:paraId="0E782153"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783</w:t>
            </w:r>
          </w:p>
        </w:tc>
        <w:tc>
          <w:tcPr>
            <w:tcW w:w="0" w:type="auto"/>
            <w:hideMark/>
          </w:tcPr>
          <w:p w14:paraId="31A322BA"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650</w:t>
            </w:r>
          </w:p>
        </w:tc>
        <w:tc>
          <w:tcPr>
            <w:tcW w:w="0" w:type="auto"/>
          </w:tcPr>
          <w:p w14:paraId="5A780E8A"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0.830</w:t>
            </w:r>
          </w:p>
        </w:tc>
      </w:tr>
      <w:tr w:rsidR="000A264E" w:rsidRPr="008A79CE" w14:paraId="5DFBEAC8" w14:textId="77777777" w:rsidTr="000A7207">
        <w:trPr>
          <w:trHeight w:val="475"/>
          <w:jc w:val="center"/>
        </w:trPr>
        <w:tc>
          <w:tcPr>
            <w:tcW w:w="0" w:type="auto"/>
            <w:hideMark/>
          </w:tcPr>
          <w:p w14:paraId="0CE66C6D"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NRC</w:t>
            </w:r>
          </w:p>
        </w:tc>
        <w:tc>
          <w:tcPr>
            <w:tcW w:w="0" w:type="auto"/>
            <w:hideMark/>
          </w:tcPr>
          <w:p w14:paraId="7EDA4778"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178</w:t>
            </w:r>
          </w:p>
        </w:tc>
        <w:tc>
          <w:tcPr>
            <w:tcW w:w="0" w:type="auto"/>
            <w:hideMark/>
          </w:tcPr>
          <w:p w14:paraId="16F4B770"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198</w:t>
            </w:r>
          </w:p>
        </w:tc>
        <w:tc>
          <w:tcPr>
            <w:tcW w:w="0" w:type="auto"/>
          </w:tcPr>
          <w:p w14:paraId="452E0C71"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1.110</w:t>
            </w:r>
          </w:p>
        </w:tc>
        <w:tc>
          <w:tcPr>
            <w:tcW w:w="0" w:type="auto"/>
            <w:hideMark/>
          </w:tcPr>
          <w:p w14:paraId="12A03334"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612</w:t>
            </w:r>
          </w:p>
        </w:tc>
        <w:tc>
          <w:tcPr>
            <w:tcW w:w="0" w:type="auto"/>
            <w:hideMark/>
          </w:tcPr>
          <w:p w14:paraId="26D917CD"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600</w:t>
            </w:r>
          </w:p>
        </w:tc>
        <w:tc>
          <w:tcPr>
            <w:tcW w:w="0" w:type="auto"/>
          </w:tcPr>
          <w:p w14:paraId="7172D901"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0.980</w:t>
            </w:r>
          </w:p>
        </w:tc>
      </w:tr>
      <w:tr w:rsidR="000A264E" w:rsidRPr="008A79CE" w14:paraId="23F5ECD4" w14:textId="77777777" w:rsidTr="000A7207">
        <w:trPr>
          <w:trHeight w:val="475"/>
          <w:jc w:val="center"/>
        </w:trPr>
        <w:tc>
          <w:tcPr>
            <w:tcW w:w="0" w:type="auto"/>
            <w:tcBorders>
              <w:bottom w:val="single" w:sz="12" w:space="0" w:color="auto"/>
            </w:tcBorders>
            <w:hideMark/>
          </w:tcPr>
          <w:p w14:paraId="246AD865"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VADER</w:t>
            </w:r>
          </w:p>
        </w:tc>
        <w:tc>
          <w:tcPr>
            <w:tcW w:w="0" w:type="auto"/>
            <w:tcBorders>
              <w:bottom w:val="single" w:sz="12" w:space="0" w:color="auto"/>
            </w:tcBorders>
            <w:hideMark/>
          </w:tcPr>
          <w:p w14:paraId="31FC5716"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91</w:t>
            </w:r>
          </w:p>
        </w:tc>
        <w:tc>
          <w:tcPr>
            <w:tcW w:w="0" w:type="auto"/>
            <w:tcBorders>
              <w:bottom w:val="single" w:sz="12" w:space="0" w:color="auto"/>
            </w:tcBorders>
            <w:hideMark/>
          </w:tcPr>
          <w:p w14:paraId="38A5A9E7"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82</w:t>
            </w:r>
          </w:p>
        </w:tc>
        <w:tc>
          <w:tcPr>
            <w:tcW w:w="0" w:type="auto"/>
            <w:tcBorders>
              <w:bottom w:val="single" w:sz="12" w:space="0" w:color="auto"/>
            </w:tcBorders>
          </w:tcPr>
          <w:p w14:paraId="4673E4A0"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0.901</w:t>
            </w:r>
          </w:p>
        </w:tc>
        <w:tc>
          <w:tcPr>
            <w:tcW w:w="0" w:type="auto"/>
            <w:tcBorders>
              <w:bottom w:val="single" w:sz="12" w:space="0" w:color="auto"/>
            </w:tcBorders>
            <w:hideMark/>
          </w:tcPr>
          <w:p w14:paraId="6716A29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170</w:t>
            </w:r>
          </w:p>
        </w:tc>
        <w:tc>
          <w:tcPr>
            <w:tcW w:w="0" w:type="auto"/>
            <w:tcBorders>
              <w:bottom w:val="single" w:sz="12" w:space="0" w:color="auto"/>
            </w:tcBorders>
            <w:hideMark/>
          </w:tcPr>
          <w:p w14:paraId="6A6789B6"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205</w:t>
            </w:r>
          </w:p>
        </w:tc>
        <w:tc>
          <w:tcPr>
            <w:tcW w:w="0" w:type="auto"/>
            <w:tcBorders>
              <w:bottom w:val="single" w:sz="12" w:space="0" w:color="auto"/>
            </w:tcBorders>
          </w:tcPr>
          <w:p w14:paraId="211B00AF"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1.210</w:t>
            </w:r>
          </w:p>
        </w:tc>
      </w:tr>
    </w:tbl>
    <w:p w14:paraId="2C8B3DC9" w14:textId="77777777" w:rsidR="000A264E" w:rsidRPr="008A79CE" w:rsidRDefault="000A264E" w:rsidP="008225D3">
      <w:pPr>
        <w:spacing w:line="276" w:lineRule="auto"/>
        <w:jc w:val="both"/>
        <w:rPr>
          <w:rFonts w:ascii="Times New Roman" w:hAnsi="Times New Roman" w:cs="Times New Roman"/>
        </w:rPr>
      </w:pPr>
      <w:r w:rsidRPr="008A79CE">
        <w:rPr>
          <w:rFonts w:ascii="Times New Roman" w:hAnsi="Times New Roman" w:cs="Times New Roman"/>
          <w:b/>
          <w:bCs/>
        </w:rPr>
        <w:t>Note.</w:t>
      </w:r>
      <w:r w:rsidRPr="008A79CE">
        <w:rPr>
          <w:rFonts w:ascii="Times New Roman" w:hAnsi="Times New Roman" w:cs="Times New Roman"/>
        </w:rPr>
        <w:t xml:space="preserve"> </w:t>
      </w:r>
      <w:r w:rsidRPr="008A79CE">
        <w:rPr>
          <w:rFonts w:ascii="Times New Roman" w:hAnsi="Times New Roman" w:cs="Times New Roman"/>
          <w:i/>
          <w:iCs/>
        </w:rPr>
        <w:t>Negative = number of negative words; Positive = number of positive words; Polarity ratio = Positive ÷ Negative.</w:t>
      </w:r>
    </w:p>
    <w:p w14:paraId="74CE0768" w14:textId="65D7C76D" w:rsidR="000A264E" w:rsidRPr="008A79CE" w:rsidRDefault="009B34A2" w:rsidP="008225D3">
      <w:pPr>
        <w:spacing w:line="276" w:lineRule="auto"/>
        <w:jc w:val="both"/>
        <w:rPr>
          <w:rFonts w:ascii="Times New Roman" w:hAnsi="Times New Roman" w:cs="Times New Roman"/>
        </w:rPr>
      </w:pPr>
      <w:r w:rsidRPr="00487F0E">
        <w:rPr>
          <w:rFonts w:ascii="Times New Roman" w:hAnsi="Times New Roman" w:cs="Times New Roman"/>
        </w:rPr>
        <w:t xml:space="preserve">Given these differences, variation in polarity scores across lexicons partly reflects dictionary size and design philosophy. </w:t>
      </w:r>
      <w:r w:rsidRPr="008A79CE">
        <w:rPr>
          <w:rFonts w:ascii="Times New Roman" w:hAnsi="Times New Roman" w:cs="Times New Roman"/>
        </w:rPr>
        <w:t xml:space="preserve">The result suggested that AFINN references to the ‘Natural Origin Hypothesis’ were associated with more positive polarity than the ‘Lab Leak Hypothesis,’ while Bing classified both hypotheses as negative due to its binary structure. </w:t>
      </w:r>
      <w:bookmarkStart w:id="2" w:name="_Hlk210166575"/>
      <w:r w:rsidRPr="008A79CE">
        <w:rPr>
          <w:rFonts w:ascii="Times New Roman" w:hAnsi="Times New Roman" w:cs="Times New Roman"/>
        </w:rPr>
        <w:t>Loughran</w:t>
      </w:r>
      <w:bookmarkEnd w:id="2"/>
      <w:r w:rsidRPr="008A79CE">
        <w:rPr>
          <w:rFonts w:ascii="Times New Roman" w:hAnsi="Times New Roman" w:cs="Times New Roman"/>
        </w:rPr>
        <w:t xml:space="preserve"> scores also leaned negative but with reduced polarity, reflecting the lexicon’s legal-financial orientation. </w:t>
      </w:r>
      <w:bookmarkStart w:id="3" w:name="_Hlk210166605"/>
      <w:proofErr w:type="spellStart"/>
      <w:r w:rsidRPr="008A79CE">
        <w:rPr>
          <w:rFonts w:ascii="Times New Roman" w:hAnsi="Times New Roman" w:cs="Times New Roman"/>
        </w:rPr>
        <w:t>Syuzhet</w:t>
      </w:r>
      <w:proofErr w:type="spellEnd"/>
      <w:r w:rsidRPr="008A79CE">
        <w:rPr>
          <w:rFonts w:ascii="Times New Roman" w:hAnsi="Times New Roman" w:cs="Times New Roman"/>
        </w:rPr>
        <w:t xml:space="preserve"> and VADER</w:t>
      </w:r>
      <w:bookmarkEnd w:id="3"/>
      <w:r w:rsidRPr="008A79CE">
        <w:rPr>
          <w:rFonts w:ascii="Times New Roman" w:hAnsi="Times New Roman" w:cs="Times New Roman"/>
        </w:rPr>
        <w:t>, which are better suited for shorter and informal text, yielded near-neutral sentiment. The comparison shows that while absolute values differ, the direction of sentiment remains stable across lexicons. This strengthens confidence in the validity of the findings. Differences across methods also highlight the importance of lexicon choice, size, and suitability</w:t>
      </w:r>
    </w:p>
    <w:p w14:paraId="1EFF1440" w14:textId="65FA196F" w:rsidR="000A264E" w:rsidRPr="008A79CE" w:rsidRDefault="000A264E" w:rsidP="008225D3">
      <w:pPr>
        <w:spacing w:line="276" w:lineRule="auto"/>
        <w:jc w:val="both"/>
        <w:rPr>
          <w:rFonts w:ascii="Times New Roman" w:hAnsi="Times New Roman" w:cs="Times New Roman"/>
        </w:rPr>
      </w:pPr>
      <w:r w:rsidRPr="008A79CE">
        <w:rPr>
          <w:rFonts w:ascii="Times New Roman" w:hAnsi="Times New Roman" w:cs="Times New Roman"/>
          <w:b/>
          <w:bCs/>
        </w:rPr>
        <w:t xml:space="preserve">Table </w:t>
      </w:r>
      <w:r w:rsidR="00521287">
        <w:rPr>
          <w:rFonts w:ascii="Times New Roman" w:hAnsi="Times New Roman" w:cs="Times New Roman"/>
          <w:b/>
          <w:bCs/>
        </w:rPr>
        <w:t>S</w:t>
      </w:r>
      <w:r w:rsidRPr="008A79CE">
        <w:rPr>
          <w:rFonts w:ascii="Times New Roman" w:hAnsi="Times New Roman" w:cs="Times New Roman"/>
          <w:b/>
          <w:bCs/>
        </w:rPr>
        <w:t>3:</w:t>
      </w:r>
      <w:r w:rsidRPr="008A79CE">
        <w:rPr>
          <w:rFonts w:ascii="Times New Roman" w:hAnsi="Times New Roman" w:cs="Times New Roman"/>
        </w:rPr>
        <w:t xml:space="preserve"> </w:t>
      </w:r>
      <w:r w:rsidRPr="008A79CE">
        <w:rPr>
          <w:rFonts w:ascii="Times New Roman" w:hAnsi="Times New Roman" w:cs="Times New Roman"/>
          <w:i/>
          <w:iCs/>
        </w:rPr>
        <w:t>Sentiment (normalized) by lexicon and hypothesis</w:t>
      </w:r>
    </w:p>
    <w:tbl>
      <w:tblPr>
        <w:tblStyle w:val="TableGrid"/>
        <w:tblW w:w="848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0"/>
        <w:gridCol w:w="1639"/>
        <w:gridCol w:w="1498"/>
        <w:gridCol w:w="2011"/>
        <w:gridCol w:w="1839"/>
      </w:tblGrid>
      <w:tr w:rsidR="000A264E" w:rsidRPr="008A79CE" w14:paraId="6EE0EBE7" w14:textId="77777777" w:rsidTr="00C75DAE">
        <w:trPr>
          <w:trHeight w:val="506"/>
          <w:jc w:val="center"/>
        </w:trPr>
        <w:tc>
          <w:tcPr>
            <w:tcW w:w="0" w:type="auto"/>
            <w:tcBorders>
              <w:top w:val="single" w:sz="12" w:space="0" w:color="auto"/>
            </w:tcBorders>
            <w:hideMark/>
          </w:tcPr>
          <w:p w14:paraId="3AB88B48" w14:textId="77777777" w:rsidR="000A264E" w:rsidRPr="008A79CE" w:rsidRDefault="000A264E" w:rsidP="008225D3">
            <w:pPr>
              <w:spacing w:after="160" w:line="276" w:lineRule="auto"/>
              <w:jc w:val="both"/>
              <w:rPr>
                <w:rFonts w:ascii="Times New Roman" w:hAnsi="Times New Roman" w:cs="Times New Roman"/>
                <w:b/>
                <w:bCs/>
              </w:rPr>
            </w:pPr>
            <w:r w:rsidRPr="008A79CE">
              <w:rPr>
                <w:rFonts w:ascii="Times New Roman" w:hAnsi="Times New Roman" w:cs="Times New Roman"/>
                <w:b/>
                <w:bCs/>
              </w:rPr>
              <w:t>Lexicon</w:t>
            </w:r>
          </w:p>
        </w:tc>
        <w:tc>
          <w:tcPr>
            <w:tcW w:w="0" w:type="auto"/>
            <w:gridSpan w:val="2"/>
            <w:tcBorders>
              <w:top w:val="single" w:sz="12" w:space="0" w:color="auto"/>
            </w:tcBorders>
            <w:hideMark/>
          </w:tcPr>
          <w:p w14:paraId="54C40D31" w14:textId="77777777" w:rsidR="000A264E" w:rsidRPr="008A79CE" w:rsidRDefault="000A264E" w:rsidP="008225D3">
            <w:pPr>
              <w:spacing w:after="160" w:line="276" w:lineRule="auto"/>
              <w:jc w:val="center"/>
              <w:rPr>
                <w:rFonts w:ascii="Times New Roman" w:hAnsi="Times New Roman" w:cs="Times New Roman"/>
                <w:b/>
                <w:bCs/>
              </w:rPr>
            </w:pPr>
            <w:r w:rsidRPr="008A79CE">
              <w:rPr>
                <w:rFonts w:ascii="Times New Roman" w:hAnsi="Times New Roman" w:cs="Times New Roman"/>
                <w:b/>
                <w:bCs/>
              </w:rPr>
              <w:t>Lab Leak Hypothesis</w:t>
            </w:r>
          </w:p>
        </w:tc>
        <w:tc>
          <w:tcPr>
            <w:tcW w:w="0" w:type="auto"/>
            <w:gridSpan w:val="2"/>
            <w:tcBorders>
              <w:top w:val="single" w:sz="12" w:space="0" w:color="auto"/>
            </w:tcBorders>
            <w:hideMark/>
          </w:tcPr>
          <w:p w14:paraId="003AE7F2" w14:textId="77777777" w:rsidR="000A264E" w:rsidRPr="008A79CE" w:rsidRDefault="000A264E" w:rsidP="008225D3">
            <w:pPr>
              <w:spacing w:after="160" w:line="276" w:lineRule="auto"/>
              <w:jc w:val="center"/>
              <w:rPr>
                <w:rFonts w:ascii="Times New Roman" w:hAnsi="Times New Roman" w:cs="Times New Roman"/>
                <w:b/>
                <w:bCs/>
              </w:rPr>
            </w:pPr>
            <w:r w:rsidRPr="008A79CE">
              <w:rPr>
                <w:rFonts w:ascii="Times New Roman" w:hAnsi="Times New Roman" w:cs="Times New Roman"/>
                <w:b/>
                <w:bCs/>
              </w:rPr>
              <w:t>Natural Origin Hypothesis</w:t>
            </w:r>
          </w:p>
        </w:tc>
      </w:tr>
      <w:tr w:rsidR="000A264E" w:rsidRPr="008A79CE" w14:paraId="143C15FF" w14:textId="77777777" w:rsidTr="00C75DAE">
        <w:trPr>
          <w:trHeight w:val="493"/>
          <w:jc w:val="center"/>
        </w:trPr>
        <w:tc>
          <w:tcPr>
            <w:tcW w:w="0" w:type="auto"/>
            <w:tcBorders>
              <w:bottom w:val="single" w:sz="12" w:space="0" w:color="auto"/>
            </w:tcBorders>
            <w:hideMark/>
          </w:tcPr>
          <w:p w14:paraId="45C6F794" w14:textId="77777777" w:rsidR="000A264E" w:rsidRPr="008A79CE" w:rsidRDefault="000A264E" w:rsidP="008225D3">
            <w:pPr>
              <w:spacing w:after="160" w:line="276" w:lineRule="auto"/>
              <w:jc w:val="both"/>
              <w:rPr>
                <w:rFonts w:ascii="Times New Roman" w:hAnsi="Times New Roman" w:cs="Times New Roman"/>
              </w:rPr>
            </w:pPr>
          </w:p>
        </w:tc>
        <w:tc>
          <w:tcPr>
            <w:tcW w:w="0" w:type="auto"/>
            <w:tcBorders>
              <w:bottom w:val="single" w:sz="12" w:space="0" w:color="auto"/>
            </w:tcBorders>
            <w:hideMark/>
          </w:tcPr>
          <w:p w14:paraId="7D14B7F6"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Negative</w:t>
            </w:r>
          </w:p>
        </w:tc>
        <w:tc>
          <w:tcPr>
            <w:tcW w:w="0" w:type="auto"/>
            <w:tcBorders>
              <w:bottom w:val="single" w:sz="12" w:space="0" w:color="auto"/>
            </w:tcBorders>
            <w:hideMark/>
          </w:tcPr>
          <w:p w14:paraId="1EE25859"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Positive</w:t>
            </w:r>
          </w:p>
        </w:tc>
        <w:tc>
          <w:tcPr>
            <w:tcW w:w="0" w:type="auto"/>
            <w:tcBorders>
              <w:bottom w:val="single" w:sz="12" w:space="0" w:color="auto"/>
            </w:tcBorders>
            <w:hideMark/>
          </w:tcPr>
          <w:p w14:paraId="6C640B19"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Negative</w:t>
            </w:r>
          </w:p>
        </w:tc>
        <w:tc>
          <w:tcPr>
            <w:tcW w:w="0" w:type="auto"/>
            <w:tcBorders>
              <w:bottom w:val="single" w:sz="12" w:space="0" w:color="auto"/>
            </w:tcBorders>
            <w:hideMark/>
          </w:tcPr>
          <w:p w14:paraId="550AA3D5"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Positive</w:t>
            </w:r>
          </w:p>
        </w:tc>
      </w:tr>
      <w:tr w:rsidR="000A264E" w:rsidRPr="008A79CE" w14:paraId="6F965ED8" w14:textId="77777777" w:rsidTr="00C75DAE">
        <w:trPr>
          <w:trHeight w:val="506"/>
          <w:jc w:val="center"/>
        </w:trPr>
        <w:tc>
          <w:tcPr>
            <w:tcW w:w="0" w:type="auto"/>
            <w:tcBorders>
              <w:top w:val="single" w:sz="12" w:space="0" w:color="auto"/>
            </w:tcBorders>
            <w:hideMark/>
          </w:tcPr>
          <w:p w14:paraId="60249587"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AFINN</w:t>
            </w:r>
          </w:p>
        </w:tc>
        <w:tc>
          <w:tcPr>
            <w:tcW w:w="0" w:type="auto"/>
            <w:tcBorders>
              <w:top w:val="single" w:sz="12" w:space="0" w:color="auto"/>
            </w:tcBorders>
            <w:hideMark/>
          </w:tcPr>
          <w:p w14:paraId="7689373A"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4.12</w:t>
            </w:r>
          </w:p>
        </w:tc>
        <w:tc>
          <w:tcPr>
            <w:tcW w:w="0" w:type="auto"/>
            <w:tcBorders>
              <w:top w:val="single" w:sz="12" w:space="0" w:color="auto"/>
            </w:tcBorders>
            <w:hideMark/>
          </w:tcPr>
          <w:p w14:paraId="0918AE73"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3.44</w:t>
            </w:r>
          </w:p>
        </w:tc>
        <w:tc>
          <w:tcPr>
            <w:tcW w:w="0" w:type="auto"/>
            <w:tcBorders>
              <w:top w:val="single" w:sz="12" w:space="0" w:color="auto"/>
            </w:tcBorders>
            <w:hideMark/>
          </w:tcPr>
          <w:p w14:paraId="12E9275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2.43</w:t>
            </w:r>
          </w:p>
        </w:tc>
        <w:tc>
          <w:tcPr>
            <w:tcW w:w="0" w:type="auto"/>
            <w:tcBorders>
              <w:top w:val="single" w:sz="12" w:space="0" w:color="auto"/>
            </w:tcBorders>
            <w:hideMark/>
          </w:tcPr>
          <w:p w14:paraId="15977CA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3.79</w:t>
            </w:r>
          </w:p>
        </w:tc>
      </w:tr>
      <w:tr w:rsidR="000A264E" w:rsidRPr="008A79CE" w14:paraId="786EE6BC" w14:textId="77777777" w:rsidTr="00C75DAE">
        <w:trPr>
          <w:trHeight w:val="506"/>
          <w:jc w:val="center"/>
        </w:trPr>
        <w:tc>
          <w:tcPr>
            <w:tcW w:w="0" w:type="auto"/>
            <w:hideMark/>
          </w:tcPr>
          <w:p w14:paraId="76C1838B"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Bing</w:t>
            </w:r>
          </w:p>
        </w:tc>
        <w:tc>
          <w:tcPr>
            <w:tcW w:w="0" w:type="auto"/>
            <w:hideMark/>
          </w:tcPr>
          <w:p w14:paraId="78E06E18"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10.30</w:t>
            </w:r>
          </w:p>
        </w:tc>
        <w:tc>
          <w:tcPr>
            <w:tcW w:w="0" w:type="auto"/>
            <w:hideMark/>
          </w:tcPr>
          <w:p w14:paraId="54EC7FA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3.95</w:t>
            </w:r>
          </w:p>
        </w:tc>
        <w:tc>
          <w:tcPr>
            <w:tcW w:w="0" w:type="auto"/>
            <w:hideMark/>
          </w:tcPr>
          <w:p w14:paraId="0FE95FD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12.50</w:t>
            </w:r>
          </w:p>
        </w:tc>
        <w:tc>
          <w:tcPr>
            <w:tcW w:w="0" w:type="auto"/>
            <w:hideMark/>
          </w:tcPr>
          <w:p w14:paraId="070F7E5A"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3.75</w:t>
            </w:r>
          </w:p>
        </w:tc>
      </w:tr>
      <w:tr w:rsidR="000A264E" w:rsidRPr="008A79CE" w14:paraId="00D632BA" w14:textId="77777777" w:rsidTr="00C75DAE">
        <w:trPr>
          <w:trHeight w:val="493"/>
          <w:jc w:val="center"/>
        </w:trPr>
        <w:tc>
          <w:tcPr>
            <w:tcW w:w="0" w:type="auto"/>
            <w:hideMark/>
          </w:tcPr>
          <w:p w14:paraId="5196A24C"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Loughran</w:t>
            </w:r>
          </w:p>
        </w:tc>
        <w:tc>
          <w:tcPr>
            <w:tcW w:w="0" w:type="auto"/>
            <w:hideMark/>
          </w:tcPr>
          <w:p w14:paraId="1ADD1BF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3.82</w:t>
            </w:r>
          </w:p>
        </w:tc>
        <w:tc>
          <w:tcPr>
            <w:tcW w:w="0" w:type="auto"/>
            <w:hideMark/>
          </w:tcPr>
          <w:p w14:paraId="2F85E0B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1.45</w:t>
            </w:r>
          </w:p>
        </w:tc>
        <w:tc>
          <w:tcPr>
            <w:tcW w:w="0" w:type="auto"/>
            <w:hideMark/>
          </w:tcPr>
          <w:p w14:paraId="3E09AE9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3.30</w:t>
            </w:r>
          </w:p>
        </w:tc>
        <w:tc>
          <w:tcPr>
            <w:tcW w:w="0" w:type="auto"/>
            <w:hideMark/>
          </w:tcPr>
          <w:p w14:paraId="147C5504"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1.58</w:t>
            </w:r>
          </w:p>
        </w:tc>
      </w:tr>
      <w:tr w:rsidR="000A264E" w:rsidRPr="008A79CE" w14:paraId="4A27057F" w14:textId="77777777" w:rsidTr="00C75DAE">
        <w:trPr>
          <w:trHeight w:val="506"/>
          <w:jc w:val="center"/>
        </w:trPr>
        <w:tc>
          <w:tcPr>
            <w:tcW w:w="0" w:type="auto"/>
            <w:hideMark/>
          </w:tcPr>
          <w:p w14:paraId="3464CCDB" w14:textId="77777777" w:rsidR="000A264E" w:rsidRPr="008A79CE" w:rsidRDefault="000A264E" w:rsidP="008225D3">
            <w:pPr>
              <w:spacing w:after="160" w:line="276" w:lineRule="auto"/>
              <w:jc w:val="both"/>
              <w:rPr>
                <w:rFonts w:ascii="Times New Roman" w:hAnsi="Times New Roman" w:cs="Times New Roman"/>
              </w:rPr>
            </w:pPr>
            <w:proofErr w:type="spellStart"/>
            <w:r w:rsidRPr="008A79CE">
              <w:rPr>
                <w:rFonts w:ascii="Times New Roman" w:hAnsi="Times New Roman" w:cs="Times New Roman"/>
              </w:rPr>
              <w:t>Syuzhet</w:t>
            </w:r>
            <w:proofErr w:type="spellEnd"/>
          </w:p>
        </w:tc>
        <w:tc>
          <w:tcPr>
            <w:tcW w:w="0" w:type="auto"/>
            <w:hideMark/>
          </w:tcPr>
          <w:p w14:paraId="1A13CBBF"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12.50</w:t>
            </w:r>
          </w:p>
        </w:tc>
        <w:tc>
          <w:tcPr>
            <w:tcW w:w="0" w:type="auto"/>
            <w:hideMark/>
          </w:tcPr>
          <w:p w14:paraId="047C29BB"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10.40</w:t>
            </w:r>
          </w:p>
        </w:tc>
        <w:tc>
          <w:tcPr>
            <w:tcW w:w="0" w:type="auto"/>
            <w:hideMark/>
          </w:tcPr>
          <w:p w14:paraId="2A59A3C5"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16.70</w:t>
            </w:r>
          </w:p>
        </w:tc>
        <w:tc>
          <w:tcPr>
            <w:tcW w:w="0" w:type="auto"/>
            <w:hideMark/>
          </w:tcPr>
          <w:p w14:paraId="4BEC7A9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13.80</w:t>
            </w:r>
          </w:p>
        </w:tc>
      </w:tr>
      <w:tr w:rsidR="000A264E" w:rsidRPr="008A79CE" w14:paraId="69B64C75" w14:textId="77777777" w:rsidTr="00C75DAE">
        <w:trPr>
          <w:trHeight w:val="506"/>
          <w:jc w:val="center"/>
        </w:trPr>
        <w:tc>
          <w:tcPr>
            <w:tcW w:w="0" w:type="auto"/>
            <w:hideMark/>
          </w:tcPr>
          <w:p w14:paraId="560AC22F"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NRC</w:t>
            </w:r>
          </w:p>
        </w:tc>
        <w:tc>
          <w:tcPr>
            <w:tcW w:w="0" w:type="auto"/>
            <w:hideMark/>
          </w:tcPr>
          <w:p w14:paraId="75C8783C"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8.90</w:t>
            </w:r>
          </w:p>
        </w:tc>
        <w:tc>
          <w:tcPr>
            <w:tcW w:w="0" w:type="auto"/>
            <w:hideMark/>
          </w:tcPr>
          <w:p w14:paraId="26B99CF8"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9.90</w:t>
            </w:r>
          </w:p>
        </w:tc>
        <w:tc>
          <w:tcPr>
            <w:tcW w:w="0" w:type="auto"/>
            <w:hideMark/>
          </w:tcPr>
          <w:p w14:paraId="39C7A3A5"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12.80</w:t>
            </w:r>
          </w:p>
        </w:tc>
        <w:tc>
          <w:tcPr>
            <w:tcW w:w="0" w:type="auto"/>
            <w:hideMark/>
          </w:tcPr>
          <w:p w14:paraId="3ADDCAB5"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12.50</w:t>
            </w:r>
          </w:p>
        </w:tc>
      </w:tr>
      <w:tr w:rsidR="000A264E" w:rsidRPr="008A79CE" w14:paraId="40A5DAE4" w14:textId="77777777" w:rsidTr="00C75DAE">
        <w:trPr>
          <w:trHeight w:val="493"/>
          <w:jc w:val="center"/>
        </w:trPr>
        <w:tc>
          <w:tcPr>
            <w:tcW w:w="0" w:type="auto"/>
            <w:tcBorders>
              <w:bottom w:val="single" w:sz="12" w:space="0" w:color="auto"/>
            </w:tcBorders>
            <w:hideMark/>
          </w:tcPr>
          <w:p w14:paraId="11A00204"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VADER</w:t>
            </w:r>
          </w:p>
        </w:tc>
        <w:tc>
          <w:tcPr>
            <w:tcW w:w="0" w:type="auto"/>
            <w:tcBorders>
              <w:bottom w:val="single" w:sz="12" w:space="0" w:color="auto"/>
            </w:tcBorders>
            <w:hideMark/>
          </w:tcPr>
          <w:p w14:paraId="427A214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0.04</w:t>
            </w:r>
          </w:p>
        </w:tc>
        <w:tc>
          <w:tcPr>
            <w:tcW w:w="0" w:type="auto"/>
            <w:tcBorders>
              <w:bottom w:val="single" w:sz="12" w:space="0" w:color="auto"/>
            </w:tcBorders>
            <w:hideMark/>
          </w:tcPr>
          <w:p w14:paraId="625C7C9C"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0.03</w:t>
            </w:r>
          </w:p>
        </w:tc>
        <w:tc>
          <w:tcPr>
            <w:tcW w:w="0" w:type="auto"/>
            <w:tcBorders>
              <w:bottom w:val="single" w:sz="12" w:space="0" w:color="auto"/>
            </w:tcBorders>
            <w:hideMark/>
          </w:tcPr>
          <w:p w14:paraId="11254D4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0.02</w:t>
            </w:r>
          </w:p>
        </w:tc>
        <w:tc>
          <w:tcPr>
            <w:tcW w:w="0" w:type="auto"/>
            <w:tcBorders>
              <w:bottom w:val="single" w:sz="12" w:space="0" w:color="auto"/>
            </w:tcBorders>
            <w:hideMark/>
          </w:tcPr>
          <w:p w14:paraId="5F11959F"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0.02</w:t>
            </w:r>
          </w:p>
        </w:tc>
      </w:tr>
    </w:tbl>
    <w:p w14:paraId="35CB2669" w14:textId="77777777" w:rsidR="000A264E" w:rsidRDefault="000A264E" w:rsidP="008225D3">
      <w:pPr>
        <w:spacing w:line="276" w:lineRule="auto"/>
        <w:jc w:val="both"/>
        <w:rPr>
          <w:rFonts w:ascii="Times New Roman" w:hAnsi="Times New Roman" w:cs="Times New Roman"/>
          <w:i/>
          <w:iCs/>
        </w:rPr>
      </w:pPr>
      <w:r w:rsidRPr="008A79CE">
        <w:rPr>
          <w:rFonts w:ascii="Times New Roman" w:hAnsi="Times New Roman" w:cs="Times New Roman"/>
          <w:b/>
          <w:bCs/>
        </w:rPr>
        <w:t>Note:</w:t>
      </w:r>
      <w:r w:rsidRPr="008A79CE">
        <w:rPr>
          <w:rFonts w:ascii="Times New Roman" w:hAnsi="Times New Roman" w:cs="Times New Roman"/>
        </w:rPr>
        <w:t xml:space="preserve"> </w:t>
      </w:r>
      <w:r w:rsidRPr="008A79CE">
        <w:rPr>
          <w:rFonts w:ascii="Times New Roman" w:hAnsi="Times New Roman" w:cs="Times New Roman"/>
          <w:i/>
          <w:iCs/>
        </w:rPr>
        <w:t xml:space="preserve">values are </w:t>
      </w:r>
      <w:proofErr w:type="spellStart"/>
      <w:r w:rsidRPr="008A79CE">
        <w:rPr>
          <w:rFonts w:ascii="Times New Roman" w:hAnsi="Times New Roman" w:cs="Times New Roman"/>
          <w:i/>
          <w:iCs/>
        </w:rPr>
        <w:t>mean_neg_norm</w:t>
      </w:r>
      <w:proofErr w:type="spellEnd"/>
      <w:r w:rsidRPr="008A79CE">
        <w:rPr>
          <w:rFonts w:ascii="Times New Roman" w:hAnsi="Times New Roman" w:cs="Times New Roman"/>
          <w:i/>
          <w:iCs/>
        </w:rPr>
        <w:t xml:space="preserve"> and </w:t>
      </w:r>
      <w:proofErr w:type="spellStart"/>
      <w:r w:rsidRPr="008A79CE">
        <w:rPr>
          <w:rFonts w:ascii="Times New Roman" w:hAnsi="Times New Roman" w:cs="Times New Roman"/>
          <w:i/>
          <w:iCs/>
        </w:rPr>
        <w:t>mean_pos_norm</w:t>
      </w:r>
      <w:proofErr w:type="spellEnd"/>
      <w:r w:rsidRPr="008A79CE">
        <w:rPr>
          <w:rFonts w:ascii="Times New Roman" w:hAnsi="Times New Roman" w:cs="Times New Roman"/>
          <w:i/>
          <w:iCs/>
        </w:rPr>
        <w:t xml:space="preserve"> (rounded). VADER values are small (raw decimals), so they’re shown with two decimals.</w:t>
      </w:r>
    </w:p>
    <w:p w14:paraId="66EE93B0" w14:textId="7CC45841" w:rsidR="009B34A2" w:rsidRPr="00E71592" w:rsidRDefault="009B34A2" w:rsidP="008225D3">
      <w:pPr>
        <w:spacing w:line="276" w:lineRule="auto"/>
        <w:jc w:val="both"/>
        <w:rPr>
          <w:rFonts w:ascii="Times New Roman" w:hAnsi="Times New Roman" w:cs="Times New Roman"/>
        </w:rPr>
      </w:pPr>
      <w:r w:rsidRPr="00E71592">
        <w:rPr>
          <w:rFonts w:ascii="Times New Roman" w:hAnsi="Times New Roman" w:cs="Times New Roman"/>
        </w:rPr>
        <w:t xml:space="preserve">To ensure robustness, we tested alternative weighting schemes. First, we normalized sentiment scores by document length, which yielded similar relative patterns (Lab Leak remaining more </w:t>
      </w:r>
      <w:r w:rsidRPr="00E71592">
        <w:rPr>
          <w:rFonts w:ascii="Times New Roman" w:hAnsi="Times New Roman" w:cs="Times New Roman"/>
        </w:rPr>
        <w:lastRenderedPageBreak/>
        <w:t xml:space="preserve">negative than Natural Origin). Second, we applied </w:t>
      </w:r>
      <w:proofErr w:type="spellStart"/>
      <w:r w:rsidRPr="00E71592">
        <w:rPr>
          <w:rFonts w:ascii="Times New Roman" w:hAnsi="Times New Roman" w:cs="Times New Roman"/>
        </w:rPr>
        <w:t>tf</w:t>
      </w:r>
      <w:proofErr w:type="spellEnd"/>
      <w:r w:rsidRPr="00E71592">
        <w:rPr>
          <w:rFonts w:ascii="Times New Roman" w:hAnsi="Times New Roman" w:cs="Times New Roman"/>
        </w:rPr>
        <w:t>–</w:t>
      </w:r>
      <w:proofErr w:type="spellStart"/>
      <w:r w:rsidRPr="00E71592">
        <w:rPr>
          <w:rFonts w:ascii="Times New Roman" w:hAnsi="Times New Roman" w:cs="Times New Roman"/>
        </w:rPr>
        <w:t>idf</w:t>
      </w:r>
      <w:proofErr w:type="spellEnd"/>
      <w:r w:rsidRPr="00E71592">
        <w:rPr>
          <w:rFonts w:ascii="Times New Roman" w:hAnsi="Times New Roman" w:cs="Times New Roman"/>
        </w:rPr>
        <w:t xml:space="preserve"> weighting to reduce the influence of highly frequent, domain-generic terms. Finally, we compared mean scores to a polarity balance measure (positive-to-negative ratio). Across all methods, the relative ordering of hypotheses remained consistent, confirming that results are not driven by document size or the chosen weighting scheme. These robustness checks indicate that our findings are not sensitive to weighting scheme choice.</w:t>
      </w:r>
    </w:p>
    <w:p w14:paraId="4D8D4BDB" w14:textId="46AEAD56" w:rsidR="000A264E" w:rsidRPr="008A79CE" w:rsidRDefault="000A264E" w:rsidP="008225D3">
      <w:pPr>
        <w:spacing w:line="276" w:lineRule="auto"/>
        <w:jc w:val="both"/>
        <w:rPr>
          <w:rFonts w:ascii="Times New Roman" w:hAnsi="Times New Roman" w:cs="Times New Roman"/>
        </w:rPr>
      </w:pPr>
      <w:r w:rsidRPr="008A79CE">
        <w:rPr>
          <w:rFonts w:ascii="Times New Roman" w:hAnsi="Times New Roman" w:cs="Times New Roman"/>
          <w:b/>
          <w:bCs/>
        </w:rPr>
        <w:t xml:space="preserve">Table </w:t>
      </w:r>
      <w:r w:rsidR="00521287">
        <w:rPr>
          <w:rFonts w:ascii="Times New Roman" w:hAnsi="Times New Roman" w:cs="Times New Roman"/>
          <w:b/>
          <w:bCs/>
        </w:rPr>
        <w:t>S</w:t>
      </w:r>
      <w:r w:rsidRPr="008A79CE">
        <w:rPr>
          <w:rFonts w:ascii="Times New Roman" w:hAnsi="Times New Roman" w:cs="Times New Roman"/>
          <w:b/>
          <w:bCs/>
        </w:rPr>
        <w:t>4</w:t>
      </w:r>
      <w:r w:rsidRPr="008A79CE">
        <w:rPr>
          <w:rFonts w:ascii="Times New Roman" w:hAnsi="Times New Roman" w:cs="Times New Roman"/>
        </w:rPr>
        <w:t>: TF-IDF weighted sentiment scores by lexicon and hypothesis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0"/>
        <w:gridCol w:w="2404"/>
        <w:gridCol w:w="2950"/>
      </w:tblGrid>
      <w:tr w:rsidR="000A264E" w:rsidRPr="008A79CE" w14:paraId="1B2E6EC5" w14:textId="77777777" w:rsidTr="000340AB">
        <w:trPr>
          <w:jc w:val="center"/>
        </w:trPr>
        <w:tc>
          <w:tcPr>
            <w:tcW w:w="0" w:type="auto"/>
            <w:tcBorders>
              <w:top w:val="single" w:sz="12" w:space="0" w:color="auto"/>
              <w:bottom w:val="single" w:sz="12" w:space="0" w:color="auto"/>
            </w:tcBorders>
            <w:hideMark/>
          </w:tcPr>
          <w:p w14:paraId="40A3F5DD" w14:textId="77777777" w:rsidR="000A264E" w:rsidRPr="008A79CE" w:rsidRDefault="000A264E" w:rsidP="008225D3">
            <w:pPr>
              <w:spacing w:after="160" w:line="276" w:lineRule="auto"/>
              <w:jc w:val="both"/>
              <w:rPr>
                <w:rFonts w:ascii="Times New Roman" w:hAnsi="Times New Roman" w:cs="Times New Roman"/>
                <w:b/>
                <w:bCs/>
              </w:rPr>
            </w:pPr>
            <w:r w:rsidRPr="008A79CE">
              <w:rPr>
                <w:rFonts w:ascii="Times New Roman" w:hAnsi="Times New Roman" w:cs="Times New Roman"/>
                <w:b/>
                <w:bCs/>
              </w:rPr>
              <w:t>Lexicon</w:t>
            </w:r>
          </w:p>
        </w:tc>
        <w:tc>
          <w:tcPr>
            <w:tcW w:w="0" w:type="auto"/>
            <w:tcBorders>
              <w:top w:val="single" w:sz="12" w:space="0" w:color="auto"/>
              <w:bottom w:val="single" w:sz="12" w:space="0" w:color="auto"/>
            </w:tcBorders>
            <w:hideMark/>
          </w:tcPr>
          <w:p w14:paraId="6D1BE8F0" w14:textId="77777777" w:rsidR="000A264E" w:rsidRPr="008A79CE" w:rsidRDefault="000A264E" w:rsidP="008225D3">
            <w:pPr>
              <w:spacing w:after="160" w:line="276" w:lineRule="auto"/>
              <w:jc w:val="center"/>
              <w:rPr>
                <w:rFonts w:ascii="Times New Roman" w:hAnsi="Times New Roman" w:cs="Times New Roman"/>
                <w:b/>
                <w:bCs/>
              </w:rPr>
            </w:pPr>
            <w:r w:rsidRPr="008A79CE">
              <w:rPr>
                <w:rFonts w:ascii="Times New Roman" w:hAnsi="Times New Roman" w:cs="Times New Roman"/>
                <w:b/>
                <w:bCs/>
              </w:rPr>
              <w:t>Lab Leak Hypothesis</w:t>
            </w:r>
          </w:p>
        </w:tc>
        <w:tc>
          <w:tcPr>
            <w:tcW w:w="0" w:type="auto"/>
            <w:tcBorders>
              <w:top w:val="single" w:sz="12" w:space="0" w:color="auto"/>
              <w:bottom w:val="single" w:sz="12" w:space="0" w:color="auto"/>
            </w:tcBorders>
            <w:hideMark/>
          </w:tcPr>
          <w:p w14:paraId="62C42E3B" w14:textId="77777777" w:rsidR="000A264E" w:rsidRPr="008A79CE" w:rsidRDefault="000A264E" w:rsidP="008225D3">
            <w:pPr>
              <w:spacing w:after="160" w:line="276" w:lineRule="auto"/>
              <w:jc w:val="center"/>
              <w:rPr>
                <w:rFonts w:ascii="Times New Roman" w:hAnsi="Times New Roman" w:cs="Times New Roman"/>
                <w:b/>
                <w:bCs/>
              </w:rPr>
            </w:pPr>
            <w:r w:rsidRPr="008A79CE">
              <w:rPr>
                <w:rFonts w:ascii="Times New Roman" w:hAnsi="Times New Roman" w:cs="Times New Roman"/>
                <w:b/>
                <w:bCs/>
              </w:rPr>
              <w:t>Natural Origin Hypothesis</w:t>
            </w:r>
          </w:p>
        </w:tc>
      </w:tr>
      <w:tr w:rsidR="000A264E" w:rsidRPr="008A79CE" w14:paraId="2F57E9BF" w14:textId="77777777" w:rsidTr="000340AB">
        <w:trPr>
          <w:jc w:val="center"/>
        </w:trPr>
        <w:tc>
          <w:tcPr>
            <w:tcW w:w="0" w:type="auto"/>
            <w:tcBorders>
              <w:top w:val="single" w:sz="12" w:space="0" w:color="auto"/>
            </w:tcBorders>
            <w:hideMark/>
          </w:tcPr>
          <w:p w14:paraId="5F5C2D2B"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AFINN</w:t>
            </w:r>
          </w:p>
        </w:tc>
        <w:tc>
          <w:tcPr>
            <w:tcW w:w="0" w:type="auto"/>
            <w:tcBorders>
              <w:top w:val="single" w:sz="12" w:space="0" w:color="auto"/>
            </w:tcBorders>
            <w:hideMark/>
          </w:tcPr>
          <w:p w14:paraId="6E3DADE6"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-0.00992</w:t>
            </w:r>
          </w:p>
        </w:tc>
        <w:tc>
          <w:tcPr>
            <w:tcW w:w="0" w:type="auto"/>
            <w:tcBorders>
              <w:top w:val="single" w:sz="12" w:space="0" w:color="auto"/>
            </w:tcBorders>
            <w:hideMark/>
          </w:tcPr>
          <w:p w14:paraId="4F45443E"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0.00328</w:t>
            </w:r>
          </w:p>
        </w:tc>
      </w:tr>
      <w:tr w:rsidR="000A264E" w:rsidRPr="008A79CE" w14:paraId="12FC8B3C" w14:textId="77777777" w:rsidTr="000340AB">
        <w:trPr>
          <w:jc w:val="center"/>
        </w:trPr>
        <w:tc>
          <w:tcPr>
            <w:tcW w:w="0" w:type="auto"/>
            <w:hideMark/>
          </w:tcPr>
          <w:p w14:paraId="5AAF1B74"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Bing</w:t>
            </w:r>
          </w:p>
        </w:tc>
        <w:tc>
          <w:tcPr>
            <w:tcW w:w="0" w:type="auto"/>
            <w:hideMark/>
          </w:tcPr>
          <w:p w14:paraId="0ABD0D88"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-0.00432</w:t>
            </w:r>
          </w:p>
        </w:tc>
        <w:tc>
          <w:tcPr>
            <w:tcW w:w="0" w:type="auto"/>
            <w:hideMark/>
          </w:tcPr>
          <w:p w14:paraId="11BCCC76"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-0.00356</w:t>
            </w:r>
          </w:p>
        </w:tc>
      </w:tr>
      <w:tr w:rsidR="000A264E" w:rsidRPr="008A79CE" w14:paraId="62606FE1" w14:textId="77777777" w:rsidTr="000340AB">
        <w:trPr>
          <w:jc w:val="center"/>
        </w:trPr>
        <w:tc>
          <w:tcPr>
            <w:tcW w:w="0" w:type="auto"/>
            <w:hideMark/>
          </w:tcPr>
          <w:p w14:paraId="7D763165"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Loughran</w:t>
            </w:r>
          </w:p>
        </w:tc>
        <w:tc>
          <w:tcPr>
            <w:tcW w:w="0" w:type="auto"/>
            <w:hideMark/>
          </w:tcPr>
          <w:p w14:paraId="3A51DD2A"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-0.01050</w:t>
            </w:r>
          </w:p>
        </w:tc>
        <w:tc>
          <w:tcPr>
            <w:tcW w:w="0" w:type="auto"/>
            <w:hideMark/>
          </w:tcPr>
          <w:p w14:paraId="719E5644"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-0.00776</w:t>
            </w:r>
          </w:p>
        </w:tc>
      </w:tr>
      <w:tr w:rsidR="000A264E" w:rsidRPr="008A79CE" w14:paraId="24D921E7" w14:textId="77777777" w:rsidTr="000340AB">
        <w:trPr>
          <w:jc w:val="center"/>
        </w:trPr>
        <w:tc>
          <w:tcPr>
            <w:tcW w:w="0" w:type="auto"/>
            <w:hideMark/>
          </w:tcPr>
          <w:p w14:paraId="28B0EA46"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NRC</w:t>
            </w:r>
          </w:p>
        </w:tc>
        <w:tc>
          <w:tcPr>
            <w:tcW w:w="0" w:type="auto"/>
            <w:hideMark/>
          </w:tcPr>
          <w:p w14:paraId="2618499C"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0.00066</w:t>
            </w:r>
          </w:p>
        </w:tc>
        <w:tc>
          <w:tcPr>
            <w:tcW w:w="0" w:type="auto"/>
            <w:hideMark/>
          </w:tcPr>
          <w:p w14:paraId="0CCCB8C5"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0.00293</w:t>
            </w:r>
          </w:p>
        </w:tc>
      </w:tr>
      <w:tr w:rsidR="000A264E" w:rsidRPr="008A79CE" w14:paraId="0DA3EFB5" w14:textId="77777777" w:rsidTr="000340AB">
        <w:trPr>
          <w:jc w:val="center"/>
        </w:trPr>
        <w:tc>
          <w:tcPr>
            <w:tcW w:w="0" w:type="auto"/>
            <w:hideMark/>
          </w:tcPr>
          <w:p w14:paraId="38F66792" w14:textId="77777777" w:rsidR="000A264E" w:rsidRPr="008A79CE" w:rsidRDefault="000A264E" w:rsidP="008225D3">
            <w:pPr>
              <w:spacing w:after="160" w:line="276" w:lineRule="auto"/>
              <w:jc w:val="both"/>
              <w:rPr>
                <w:rFonts w:ascii="Times New Roman" w:hAnsi="Times New Roman" w:cs="Times New Roman"/>
              </w:rPr>
            </w:pPr>
            <w:proofErr w:type="spellStart"/>
            <w:r w:rsidRPr="008A79CE">
              <w:rPr>
                <w:rFonts w:ascii="Times New Roman" w:hAnsi="Times New Roman" w:cs="Times New Roman"/>
              </w:rPr>
              <w:t>Syuzhet</w:t>
            </w:r>
            <w:proofErr w:type="spellEnd"/>
          </w:p>
        </w:tc>
        <w:tc>
          <w:tcPr>
            <w:tcW w:w="0" w:type="auto"/>
            <w:hideMark/>
          </w:tcPr>
          <w:p w14:paraId="5FF01EE8"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-0.00122</w:t>
            </w:r>
          </w:p>
        </w:tc>
        <w:tc>
          <w:tcPr>
            <w:tcW w:w="0" w:type="auto"/>
            <w:hideMark/>
          </w:tcPr>
          <w:p w14:paraId="19DEA671"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-0.00026</w:t>
            </w:r>
          </w:p>
        </w:tc>
      </w:tr>
      <w:tr w:rsidR="000A264E" w:rsidRPr="008A79CE" w14:paraId="6C68BCED" w14:textId="77777777" w:rsidTr="000340AB">
        <w:trPr>
          <w:jc w:val="center"/>
        </w:trPr>
        <w:tc>
          <w:tcPr>
            <w:tcW w:w="0" w:type="auto"/>
            <w:tcBorders>
              <w:bottom w:val="single" w:sz="12" w:space="0" w:color="auto"/>
            </w:tcBorders>
            <w:hideMark/>
          </w:tcPr>
          <w:p w14:paraId="652F9E23" w14:textId="77777777" w:rsidR="000A264E" w:rsidRPr="008A79CE" w:rsidRDefault="000A264E" w:rsidP="008225D3">
            <w:pPr>
              <w:spacing w:after="160" w:line="276" w:lineRule="auto"/>
              <w:jc w:val="both"/>
              <w:rPr>
                <w:rFonts w:ascii="Times New Roman" w:hAnsi="Times New Roman" w:cs="Times New Roman"/>
              </w:rPr>
            </w:pPr>
            <w:r w:rsidRPr="008A79CE">
              <w:rPr>
                <w:rFonts w:ascii="Times New Roman" w:hAnsi="Times New Roman" w:cs="Times New Roman"/>
              </w:rPr>
              <w:t>VADER</w:t>
            </w:r>
          </w:p>
        </w:tc>
        <w:tc>
          <w:tcPr>
            <w:tcW w:w="0" w:type="auto"/>
            <w:tcBorders>
              <w:bottom w:val="single" w:sz="12" w:space="0" w:color="auto"/>
            </w:tcBorders>
            <w:hideMark/>
          </w:tcPr>
          <w:p w14:paraId="6ED2851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-0.00045</w:t>
            </w:r>
          </w:p>
        </w:tc>
        <w:tc>
          <w:tcPr>
            <w:tcW w:w="0" w:type="auto"/>
            <w:tcBorders>
              <w:bottom w:val="single" w:sz="12" w:space="0" w:color="auto"/>
            </w:tcBorders>
            <w:hideMark/>
          </w:tcPr>
          <w:p w14:paraId="1D47F402" w14:textId="77777777" w:rsidR="000A264E" w:rsidRPr="008A79CE" w:rsidRDefault="000A264E" w:rsidP="008225D3">
            <w:pPr>
              <w:spacing w:after="160" w:line="276" w:lineRule="auto"/>
              <w:jc w:val="center"/>
              <w:rPr>
                <w:rFonts w:ascii="Times New Roman" w:hAnsi="Times New Roman" w:cs="Times New Roman"/>
              </w:rPr>
            </w:pPr>
            <w:r w:rsidRPr="008A79CE">
              <w:rPr>
                <w:rFonts w:ascii="Times New Roman" w:hAnsi="Times New Roman" w:cs="Times New Roman"/>
              </w:rPr>
              <w:t>0.00102</w:t>
            </w:r>
          </w:p>
        </w:tc>
      </w:tr>
    </w:tbl>
    <w:p w14:paraId="0924C5E3" w14:textId="77777777" w:rsidR="000A264E" w:rsidRPr="008A79CE" w:rsidRDefault="000A264E" w:rsidP="008225D3">
      <w:pPr>
        <w:spacing w:line="276" w:lineRule="auto"/>
        <w:jc w:val="both"/>
        <w:rPr>
          <w:rFonts w:ascii="Times New Roman" w:hAnsi="Times New Roman" w:cs="Times New Roman"/>
        </w:rPr>
      </w:pPr>
      <w:r w:rsidRPr="008A79CE">
        <w:rPr>
          <w:rFonts w:ascii="Times New Roman" w:hAnsi="Times New Roman" w:cs="Times New Roman"/>
          <w:b/>
          <w:bCs/>
        </w:rPr>
        <w:t>Note.</w:t>
      </w:r>
      <w:r w:rsidRPr="008A79CE">
        <w:rPr>
          <w:rFonts w:ascii="Times New Roman" w:hAnsi="Times New Roman" w:cs="Times New Roman"/>
        </w:rPr>
        <w:t xml:space="preserve"> </w:t>
      </w:r>
      <w:r w:rsidRPr="008A79CE">
        <w:rPr>
          <w:rFonts w:ascii="Times New Roman" w:hAnsi="Times New Roman" w:cs="Times New Roman"/>
          <w:i/>
          <w:iCs/>
        </w:rPr>
        <w:t>Values represent mean weighted sentiment scores (TF-IDF × sentiment polarity).</w:t>
      </w:r>
    </w:p>
    <w:p w14:paraId="62C85D9E" w14:textId="77777777" w:rsidR="000A264E" w:rsidRPr="008A79CE" w:rsidRDefault="000A264E" w:rsidP="008225D3">
      <w:pPr>
        <w:spacing w:line="276" w:lineRule="auto"/>
        <w:jc w:val="both"/>
        <w:rPr>
          <w:rFonts w:ascii="Times New Roman" w:hAnsi="Times New Roman" w:cs="Times New Roman"/>
        </w:rPr>
      </w:pPr>
    </w:p>
    <w:p w14:paraId="789D6823" w14:textId="43CB35B2" w:rsidR="000A264E" w:rsidRPr="008A79CE" w:rsidRDefault="000A264E" w:rsidP="008225D3">
      <w:pPr>
        <w:spacing w:line="276" w:lineRule="auto"/>
        <w:jc w:val="both"/>
        <w:rPr>
          <w:rFonts w:ascii="Times New Roman" w:hAnsi="Times New Roman" w:cs="Times New Roman"/>
          <w:i/>
          <w:iCs/>
        </w:rPr>
      </w:pPr>
      <w:bookmarkStart w:id="4" w:name="_Hlk210166434"/>
      <w:r w:rsidRPr="008A79CE">
        <w:rPr>
          <w:rFonts w:ascii="Times New Roman" w:hAnsi="Times New Roman" w:cs="Times New Roman"/>
          <w:i/>
          <w:iCs/>
        </w:rPr>
        <w:t>.</w:t>
      </w:r>
    </w:p>
    <w:bookmarkEnd w:id="4"/>
    <w:p w14:paraId="23DF7FAD"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noProof/>
        </w:rPr>
        <w:drawing>
          <wp:inline distT="0" distB="0" distL="0" distR="0" wp14:anchorId="798DF4EE" wp14:editId="55FA424D">
            <wp:extent cx="5032375" cy="3387256"/>
            <wp:effectExtent l="0" t="0" r="0" b="3810"/>
            <wp:docPr id="9641017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61124" cy="3406607"/>
                    </a:xfrm>
                    <a:prstGeom prst="rect">
                      <a:avLst/>
                    </a:prstGeom>
                    <a:noFill/>
                  </pic:spPr>
                </pic:pic>
              </a:graphicData>
            </a:graphic>
          </wp:inline>
        </w:drawing>
      </w:r>
    </w:p>
    <w:p w14:paraId="5031C259" w14:textId="363C994E"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lastRenderedPageBreak/>
        <w:t xml:space="preserve">Figure </w:t>
      </w:r>
      <w:r w:rsidR="00521287">
        <w:rPr>
          <w:rFonts w:ascii="Times New Roman" w:hAnsi="Times New Roman" w:cs="Times New Roman"/>
        </w:rPr>
        <w:t>S</w:t>
      </w:r>
      <w:r w:rsidRPr="008A79CE">
        <w:rPr>
          <w:rFonts w:ascii="Times New Roman" w:hAnsi="Times New Roman" w:cs="Times New Roman"/>
        </w:rPr>
        <w:t>1: Polarity sentiment Comparison Across Lexicons</w:t>
      </w:r>
    </w:p>
    <w:p w14:paraId="1FF9BA82"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noProof/>
        </w:rPr>
        <w:drawing>
          <wp:inline distT="0" distB="0" distL="0" distR="0" wp14:anchorId="7CCE56EA" wp14:editId="12E95223">
            <wp:extent cx="4850130" cy="3450866"/>
            <wp:effectExtent l="0" t="0" r="7620" b="0"/>
            <wp:docPr id="19561261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68105" cy="3463655"/>
                    </a:xfrm>
                    <a:prstGeom prst="rect">
                      <a:avLst/>
                    </a:prstGeom>
                    <a:noFill/>
                  </pic:spPr>
                </pic:pic>
              </a:graphicData>
            </a:graphic>
          </wp:inline>
        </w:drawing>
      </w:r>
    </w:p>
    <w:p w14:paraId="4D798915" w14:textId="4DD20FBD"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 xml:space="preserve">Figure </w:t>
      </w:r>
      <w:r w:rsidR="00521287">
        <w:rPr>
          <w:rFonts w:ascii="Times New Roman" w:hAnsi="Times New Roman" w:cs="Times New Roman"/>
        </w:rPr>
        <w:t>S</w:t>
      </w:r>
      <w:r w:rsidRPr="008A79CE">
        <w:rPr>
          <w:rFonts w:ascii="Times New Roman" w:hAnsi="Times New Roman" w:cs="Times New Roman"/>
        </w:rPr>
        <w:t>2: Normalized Sentiment Comparison Across Lexicons</w:t>
      </w:r>
    </w:p>
    <w:p w14:paraId="4A8CDBFF" w14:textId="77777777"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noProof/>
        </w:rPr>
        <w:drawing>
          <wp:inline distT="0" distB="0" distL="0" distR="0" wp14:anchorId="294D0359" wp14:editId="0A862395">
            <wp:extent cx="4166483" cy="3243580"/>
            <wp:effectExtent l="0" t="0" r="5715" b="0"/>
            <wp:docPr id="5592350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74829" cy="3250078"/>
                    </a:xfrm>
                    <a:prstGeom prst="rect">
                      <a:avLst/>
                    </a:prstGeom>
                    <a:noFill/>
                  </pic:spPr>
                </pic:pic>
              </a:graphicData>
            </a:graphic>
          </wp:inline>
        </w:drawing>
      </w:r>
    </w:p>
    <w:p w14:paraId="14A8F008" w14:textId="0EB2ADAA" w:rsidR="000A264E" w:rsidRPr="008A79CE" w:rsidRDefault="000A264E" w:rsidP="008225D3">
      <w:pPr>
        <w:spacing w:line="276" w:lineRule="auto"/>
        <w:jc w:val="center"/>
        <w:rPr>
          <w:rFonts w:ascii="Times New Roman" w:hAnsi="Times New Roman" w:cs="Times New Roman"/>
        </w:rPr>
      </w:pPr>
      <w:r w:rsidRPr="008A79CE">
        <w:rPr>
          <w:rFonts w:ascii="Times New Roman" w:hAnsi="Times New Roman" w:cs="Times New Roman"/>
        </w:rPr>
        <w:t xml:space="preserve">Figure </w:t>
      </w:r>
      <w:r w:rsidR="00521287">
        <w:rPr>
          <w:rFonts w:ascii="Times New Roman" w:hAnsi="Times New Roman" w:cs="Times New Roman"/>
        </w:rPr>
        <w:t>S</w:t>
      </w:r>
      <w:r w:rsidR="00C75DAE">
        <w:rPr>
          <w:rFonts w:ascii="Times New Roman" w:hAnsi="Times New Roman" w:cs="Times New Roman"/>
        </w:rPr>
        <w:t>3</w:t>
      </w:r>
      <w:r w:rsidRPr="008A79CE">
        <w:rPr>
          <w:rFonts w:ascii="Times New Roman" w:hAnsi="Times New Roman" w:cs="Times New Roman"/>
        </w:rPr>
        <w:t xml:space="preserve">: </w:t>
      </w:r>
      <w:r w:rsidR="00C75DAE" w:rsidRPr="008A79CE">
        <w:rPr>
          <w:rFonts w:ascii="Times New Roman" w:hAnsi="Times New Roman" w:cs="Times New Roman"/>
        </w:rPr>
        <w:t>Polarity (</w:t>
      </w:r>
      <w:r w:rsidRPr="008A79CE">
        <w:rPr>
          <w:rFonts w:ascii="Times New Roman" w:hAnsi="Times New Roman" w:cs="Times New Roman"/>
        </w:rPr>
        <w:t>Polarity Ratio (Pos/Neg)) Ratio Across Lexicons</w:t>
      </w:r>
    </w:p>
    <w:p w14:paraId="663E909F" w14:textId="77777777" w:rsidR="000A264E" w:rsidRPr="008A79CE" w:rsidRDefault="000A264E" w:rsidP="008225D3">
      <w:pPr>
        <w:spacing w:line="276" w:lineRule="auto"/>
        <w:jc w:val="both"/>
        <w:rPr>
          <w:rFonts w:ascii="Times New Roman" w:hAnsi="Times New Roman" w:cs="Times New Roman"/>
        </w:rPr>
      </w:pPr>
    </w:p>
    <w:sectPr w:rsidR="000A264E" w:rsidRPr="008A79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E01"/>
    <w:rsid w:val="000A264E"/>
    <w:rsid w:val="000A7207"/>
    <w:rsid w:val="001F40F4"/>
    <w:rsid w:val="00233E0C"/>
    <w:rsid w:val="00476E3F"/>
    <w:rsid w:val="00521287"/>
    <w:rsid w:val="005C4F55"/>
    <w:rsid w:val="00674E01"/>
    <w:rsid w:val="008225D3"/>
    <w:rsid w:val="008A79CE"/>
    <w:rsid w:val="00967796"/>
    <w:rsid w:val="009B34A2"/>
    <w:rsid w:val="00A64AE9"/>
    <w:rsid w:val="00C75DAE"/>
    <w:rsid w:val="00E71592"/>
    <w:rsid w:val="00F31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02BA9"/>
  <w15:chartTrackingRefBased/>
  <w15:docId w15:val="{E71DB459-D4BC-4C1C-9562-43F82F7A6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64E"/>
  </w:style>
  <w:style w:type="paragraph" w:styleId="Heading1">
    <w:name w:val="heading 1"/>
    <w:basedOn w:val="Normal"/>
    <w:next w:val="Normal"/>
    <w:link w:val="Heading1Char"/>
    <w:uiPriority w:val="9"/>
    <w:qFormat/>
    <w:rsid w:val="00674E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74E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74E0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74E0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74E0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74E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4E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4E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4E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4E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74E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74E0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74E0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74E0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74E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4E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4E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4E01"/>
    <w:rPr>
      <w:rFonts w:eastAsiaTheme="majorEastAsia" w:cstheme="majorBidi"/>
      <w:color w:val="272727" w:themeColor="text1" w:themeTint="D8"/>
    </w:rPr>
  </w:style>
  <w:style w:type="paragraph" w:styleId="Title">
    <w:name w:val="Title"/>
    <w:basedOn w:val="Normal"/>
    <w:next w:val="Normal"/>
    <w:link w:val="TitleChar"/>
    <w:uiPriority w:val="10"/>
    <w:qFormat/>
    <w:rsid w:val="00674E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4E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4E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4E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4E01"/>
    <w:pPr>
      <w:spacing w:before="160"/>
      <w:jc w:val="center"/>
    </w:pPr>
    <w:rPr>
      <w:i/>
      <w:iCs/>
      <w:color w:val="404040" w:themeColor="text1" w:themeTint="BF"/>
    </w:rPr>
  </w:style>
  <w:style w:type="character" w:customStyle="1" w:styleId="QuoteChar">
    <w:name w:val="Quote Char"/>
    <w:basedOn w:val="DefaultParagraphFont"/>
    <w:link w:val="Quote"/>
    <w:uiPriority w:val="29"/>
    <w:rsid w:val="00674E01"/>
    <w:rPr>
      <w:i/>
      <w:iCs/>
      <w:color w:val="404040" w:themeColor="text1" w:themeTint="BF"/>
    </w:rPr>
  </w:style>
  <w:style w:type="paragraph" w:styleId="ListParagraph">
    <w:name w:val="List Paragraph"/>
    <w:basedOn w:val="Normal"/>
    <w:uiPriority w:val="34"/>
    <w:qFormat/>
    <w:rsid w:val="00674E01"/>
    <w:pPr>
      <w:ind w:left="720"/>
      <w:contextualSpacing/>
    </w:pPr>
  </w:style>
  <w:style w:type="character" w:styleId="IntenseEmphasis">
    <w:name w:val="Intense Emphasis"/>
    <w:basedOn w:val="DefaultParagraphFont"/>
    <w:uiPriority w:val="21"/>
    <w:qFormat/>
    <w:rsid w:val="00674E01"/>
    <w:rPr>
      <w:i/>
      <w:iCs/>
      <w:color w:val="2F5496" w:themeColor="accent1" w:themeShade="BF"/>
    </w:rPr>
  </w:style>
  <w:style w:type="paragraph" w:styleId="IntenseQuote">
    <w:name w:val="Intense Quote"/>
    <w:basedOn w:val="Normal"/>
    <w:next w:val="Normal"/>
    <w:link w:val="IntenseQuoteChar"/>
    <w:uiPriority w:val="30"/>
    <w:qFormat/>
    <w:rsid w:val="00674E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4E01"/>
    <w:rPr>
      <w:i/>
      <w:iCs/>
      <w:color w:val="2F5496" w:themeColor="accent1" w:themeShade="BF"/>
    </w:rPr>
  </w:style>
  <w:style w:type="character" w:styleId="IntenseReference">
    <w:name w:val="Intense Reference"/>
    <w:basedOn w:val="DefaultParagraphFont"/>
    <w:uiPriority w:val="32"/>
    <w:qFormat/>
    <w:rsid w:val="00674E01"/>
    <w:rPr>
      <w:b/>
      <w:bCs/>
      <w:smallCaps/>
      <w:color w:val="2F5496" w:themeColor="accent1" w:themeShade="BF"/>
      <w:spacing w:val="5"/>
    </w:rPr>
  </w:style>
  <w:style w:type="table" w:styleId="TableGrid">
    <w:name w:val="Table Grid"/>
    <w:basedOn w:val="TableNormal"/>
    <w:uiPriority w:val="39"/>
    <w:rsid w:val="000A2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67796"/>
    <w:rPr>
      <w:color w:val="0563C1" w:themeColor="hyperlink"/>
      <w:u w:val="single"/>
    </w:rPr>
  </w:style>
  <w:style w:type="character" w:styleId="UnresolvedMention">
    <w:name w:val="Unresolved Mention"/>
    <w:basedOn w:val="DefaultParagraphFont"/>
    <w:uiPriority w:val="99"/>
    <w:semiHidden/>
    <w:unhideWhenUsed/>
    <w:rsid w:val="009677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Adekunle</dc:creator>
  <cp:keywords/>
  <dc:description/>
  <cp:lastModifiedBy>Joseph Adekunle</cp:lastModifiedBy>
  <cp:revision>12</cp:revision>
  <dcterms:created xsi:type="dcterms:W3CDTF">2025-10-01T11:44:00Z</dcterms:created>
  <dcterms:modified xsi:type="dcterms:W3CDTF">2025-11-20T20:44:00Z</dcterms:modified>
</cp:coreProperties>
</file>